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00722085" w:displacedByCustomXml="next"/>
    <w:bookmarkStart w:id="1" w:name="OLE_LINK60" w:displacedByCustomXml="next"/>
    <w:sdt>
      <w:sdtPr>
        <w:rPr>
          <w:rFonts w:ascii="Palatino Linotype" w:hAnsi="Palatino Linotype" w:cs="Times New Roman"/>
          <w:b/>
          <w:bCs/>
          <w:sz w:val="20"/>
          <w:szCs w:val="20"/>
          <w:lang w:val="zh-CN"/>
        </w:rPr>
        <w:id w:val="1028370996"/>
        <w:docPartObj>
          <w:docPartGallery w:val="Table of Contents"/>
          <w:docPartUnique/>
        </w:docPartObj>
      </w:sdtPr>
      <w:sdtEndPr>
        <w:rPr>
          <w:b w:val="0"/>
          <w:bCs w:val="0"/>
        </w:rPr>
      </w:sdtEndPr>
      <w:sdtContent>
        <w:p w:rsidR="00B2409E" w:rsidRPr="003E2382" w:rsidRDefault="00B2409E" w:rsidP="003E2382">
          <w:pPr>
            <w:spacing w:after="0" w:line="240" w:lineRule="auto"/>
            <w:rPr>
              <w:rFonts w:ascii="Palatino Linotype" w:hAnsi="Palatino Linotype" w:cs="Times New Roman"/>
              <w:b/>
              <w:sz w:val="20"/>
              <w:szCs w:val="20"/>
            </w:rPr>
          </w:pPr>
          <w:r w:rsidRPr="003E2382">
            <w:rPr>
              <w:rFonts w:ascii="Palatino Linotype" w:hAnsi="Palatino Linotype" w:cs="Times New Roman"/>
              <w:b/>
              <w:sz w:val="20"/>
              <w:szCs w:val="20"/>
            </w:rPr>
            <w:t>Table of content</w:t>
          </w:r>
        </w:p>
        <w:p w:rsidR="003E2382" w:rsidRPr="003E2382" w:rsidRDefault="00B2409E" w:rsidP="003E2382">
          <w:pPr>
            <w:pStyle w:val="21"/>
            <w:tabs>
              <w:tab w:val="left" w:pos="660"/>
              <w:tab w:val="right" w:leader="dot" w:pos="9736"/>
            </w:tabs>
            <w:spacing w:after="0" w:line="240" w:lineRule="auto"/>
            <w:rPr>
              <w:rFonts w:ascii="Palatino Linotype" w:hAnsi="Palatino Linotype"/>
              <w:i w:val="0"/>
              <w:noProof/>
              <w:kern w:val="2"/>
              <w:sz w:val="20"/>
              <w:szCs w:val="20"/>
            </w:rPr>
          </w:pPr>
          <w:r w:rsidRPr="003E2382">
            <w:rPr>
              <w:rFonts w:ascii="Palatino Linotype" w:hAnsi="Palatino Linotype" w:cs="Times New Roman"/>
              <w:i w:val="0"/>
              <w:sz w:val="20"/>
              <w:szCs w:val="20"/>
            </w:rPr>
            <w:fldChar w:fldCharType="begin"/>
          </w:r>
          <w:r w:rsidRPr="003E2382">
            <w:rPr>
              <w:rFonts w:ascii="Palatino Linotype" w:hAnsi="Palatino Linotype" w:cs="Times New Roman"/>
              <w:i w:val="0"/>
              <w:sz w:val="20"/>
              <w:szCs w:val="20"/>
            </w:rPr>
            <w:instrText xml:space="preserve"> TOC \o "1-3" \h \z \u </w:instrText>
          </w:r>
          <w:r w:rsidRPr="003E2382">
            <w:rPr>
              <w:rFonts w:ascii="Palatino Linotype" w:hAnsi="Palatino Linotype" w:cs="Times New Roman"/>
              <w:i w:val="0"/>
              <w:sz w:val="20"/>
              <w:szCs w:val="20"/>
            </w:rPr>
            <w:fldChar w:fldCharType="separate"/>
          </w:r>
          <w:hyperlink w:anchor="_Toc38967958" w:history="1">
            <w:r w:rsidR="003E2382" w:rsidRPr="003E2382">
              <w:rPr>
                <w:rStyle w:val="aff0"/>
                <w:rFonts w:ascii="Palatino Linotype" w:hAnsi="Palatino Linotype" w:cs="Times New Roman"/>
                <w:noProof/>
                <w:sz w:val="20"/>
                <w:szCs w:val="20"/>
              </w:rPr>
              <w:t>1.</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List of abbreviation and acronyms</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_Toc38967958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2</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59" w:history="1">
            <w:r w:rsidR="003E2382" w:rsidRPr="003E2382">
              <w:rPr>
                <w:rStyle w:val="aff0"/>
                <w:rFonts w:ascii="Palatino Linotype" w:hAnsi="Palatino Linotype" w:cs="Times New Roman"/>
                <w:noProof/>
                <w:sz w:val="20"/>
                <w:szCs w:val="20"/>
              </w:rPr>
              <w:t>1.1</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General</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_Toc38967959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2</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60" w:history="1">
            <w:r w:rsidR="003E2382" w:rsidRPr="003E2382">
              <w:rPr>
                <w:rStyle w:val="aff0"/>
                <w:rFonts w:ascii="Palatino Linotype" w:hAnsi="Palatino Linotype" w:cs="Times New Roman"/>
                <w:noProof/>
                <w:sz w:val="20"/>
                <w:szCs w:val="20"/>
              </w:rPr>
              <w:t>1.2</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Chemical species and metabolic pathways</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_Toc38967960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2</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61" w:history="1">
            <w:r w:rsidR="003E2382" w:rsidRPr="003E2382">
              <w:rPr>
                <w:rStyle w:val="aff0"/>
                <w:rFonts w:ascii="Palatino Linotype" w:hAnsi="Palatino Linotype" w:cs="Times New Roman"/>
                <w:noProof/>
                <w:sz w:val="20"/>
                <w:szCs w:val="20"/>
              </w:rPr>
              <w:t>1.3</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Enzymes</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_Toc38967961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4</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21"/>
            <w:tabs>
              <w:tab w:val="left" w:pos="660"/>
              <w:tab w:val="right" w:leader="dot" w:pos="9736"/>
            </w:tabs>
            <w:spacing w:after="0" w:line="240" w:lineRule="auto"/>
            <w:rPr>
              <w:rFonts w:ascii="Palatino Linotype" w:hAnsi="Palatino Linotype"/>
              <w:i w:val="0"/>
              <w:noProof/>
              <w:kern w:val="2"/>
              <w:sz w:val="20"/>
              <w:szCs w:val="20"/>
            </w:rPr>
          </w:pPr>
          <w:hyperlink w:anchor="_Toc38967962" w:history="1">
            <w:r w:rsidR="003E2382" w:rsidRPr="003E2382">
              <w:rPr>
                <w:rStyle w:val="aff0"/>
                <w:rFonts w:ascii="Palatino Linotype" w:hAnsi="Palatino Linotype" w:cs="Times New Roman"/>
                <w:noProof/>
                <w:sz w:val="20"/>
                <w:szCs w:val="20"/>
              </w:rPr>
              <w:t>2.</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Analytical assay methods</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_Toc38967962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5</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63" w:history="1">
            <w:r w:rsidR="003E2382" w:rsidRPr="003E2382">
              <w:rPr>
                <w:rStyle w:val="aff0"/>
                <w:rFonts w:ascii="Palatino Linotype" w:hAnsi="Palatino Linotype" w:cs="Times New Roman"/>
                <w:noProof/>
                <w:sz w:val="20"/>
                <w:szCs w:val="20"/>
              </w:rPr>
              <w:t>2.1</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Total dry weight measurement</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_Toc38967963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5</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64" w:history="1">
            <w:r w:rsidR="003E2382" w:rsidRPr="003E2382">
              <w:rPr>
                <w:rStyle w:val="aff0"/>
                <w:rFonts w:ascii="Palatino Linotype" w:hAnsi="Palatino Linotype" w:cs="Times New Roman"/>
                <w:noProof/>
                <w:sz w:val="20"/>
                <w:szCs w:val="20"/>
              </w:rPr>
              <w:t>2.2</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PHB determination</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_Toc38967964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7</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65" w:history="1">
            <w:r w:rsidR="003E2382" w:rsidRPr="003E2382">
              <w:rPr>
                <w:rStyle w:val="aff0"/>
                <w:rFonts w:ascii="Palatino Linotype" w:hAnsi="Palatino Linotype" w:cs="Times New Roman"/>
                <w:noProof/>
                <w:sz w:val="20"/>
                <w:szCs w:val="20"/>
              </w:rPr>
              <w:t>2.3</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HPLC measurement</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_Toc38967965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8</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66" w:history="1">
            <w:r w:rsidR="003E2382" w:rsidRPr="003E2382">
              <w:rPr>
                <w:rStyle w:val="aff0"/>
                <w:rFonts w:ascii="Palatino Linotype" w:hAnsi="Palatino Linotype" w:cs="Times New Roman"/>
                <w:noProof/>
                <w:sz w:val="20"/>
                <w:szCs w:val="20"/>
              </w:rPr>
              <w:t>2.4</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Nitrogen measurement</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_Toc38967966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9</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67" w:history="1">
            <w:r w:rsidR="003E2382" w:rsidRPr="003E2382">
              <w:rPr>
                <w:rStyle w:val="aff0"/>
                <w:rFonts w:ascii="Palatino Linotype" w:hAnsi="Palatino Linotype" w:cs="Times New Roman"/>
                <w:noProof/>
                <w:sz w:val="20"/>
                <w:szCs w:val="20"/>
              </w:rPr>
              <w:t>2.5</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pH measurement</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_Toc38967967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9</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68" w:history="1">
            <w:r w:rsidR="003E2382" w:rsidRPr="003E2382">
              <w:rPr>
                <w:rStyle w:val="aff0"/>
                <w:rFonts w:ascii="Palatino Linotype" w:hAnsi="Palatino Linotype" w:cs="Times New Roman"/>
                <w:noProof/>
                <w:sz w:val="20"/>
                <w:szCs w:val="20"/>
              </w:rPr>
              <w:t>2.6</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Determination of volumetric mass transfer coefficient (kLa)</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_Toc38967968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12</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21"/>
            <w:tabs>
              <w:tab w:val="left" w:pos="660"/>
              <w:tab w:val="right" w:leader="dot" w:pos="9736"/>
            </w:tabs>
            <w:spacing w:after="0" w:line="240" w:lineRule="auto"/>
            <w:rPr>
              <w:rFonts w:ascii="Palatino Linotype" w:hAnsi="Palatino Linotype"/>
              <w:i w:val="0"/>
              <w:noProof/>
              <w:kern w:val="2"/>
              <w:sz w:val="20"/>
              <w:szCs w:val="20"/>
            </w:rPr>
          </w:pPr>
          <w:hyperlink w:anchor="_Toc38967969" w:history="1">
            <w:r w:rsidR="003E2382" w:rsidRPr="003E2382">
              <w:rPr>
                <w:rStyle w:val="aff0"/>
                <w:rFonts w:ascii="Palatino Linotype" w:hAnsi="Palatino Linotype" w:cs="Times New Roman"/>
                <w:noProof/>
                <w:sz w:val="20"/>
                <w:szCs w:val="20"/>
              </w:rPr>
              <w:t>3</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Data processing and reconciliation</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_Toc38967969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15</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70" w:history="1">
            <w:r w:rsidR="003E2382" w:rsidRPr="003E2382">
              <w:rPr>
                <w:rStyle w:val="aff0"/>
                <w:rFonts w:ascii="Palatino Linotype" w:hAnsi="Palatino Linotype" w:cs="Times New Roman"/>
                <w:noProof/>
                <w:sz w:val="20"/>
                <w:szCs w:val="20"/>
              </w:rPr>
              <w:t>3.1</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Smoothing of concentration profiles</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_Toc38967970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15</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71" w:history="1">
            <w:r w:rsidR="003E2382" w:rsidRPr="003E2382">
              <w:rPr>
                <w:rStyle w:val="aff0"/>
                <w:rFonts w:ascii="Palatino Linotype" w:hAnsi="Palatino Linotype" w:cs="Times New Roman"/>
                <w:noProof/>
                <w:sz w:val="20"/>
                <w:szCs w:val="20"/>
              </w:rPr>
              <w:t>3.2</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Balancing the equation of biomass synthesis</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_Toc38967971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16</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72" w:history="1">
            <w:r w:rsidR="003E2382" w:rsidRPr="003E2382">
              <w:rPr>
                <w:rStyle w:val="aff0"/>
                <w:rFonts w:ascii="Palatino Linotype" w:hAnsi="Palatino Linotype" w:cs="Times New Roman"/>
                <w:noProof/>
                <w:sz w:val="20"/>
                <w:szCs w:val="20"/>
              </w:rPr>
              <w:t>3.3</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Closure of carbon balance</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_Toc38967972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17</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left" w:pos="1100"/>
              <w:tab w:val="right" w:leader="dot" w:pos="9736"/>
            </w:tabs>
            <w:spacing w:after="0" w:line="240" w:lineRule="auto"/>
            <w:rPr>
              <w:rFonts w:ascii="Palatino Linotype" w:hAnsi="Palatino Linotype"/>
              <w:i w:val="0"/>
              <w:noProof/>
              <w:kern w:val="2"/>
              <w:sz w:val="20"/>
              <w:szCs w:val="20"/>
            </w:rPr>
          </w:pPr>
          <w:hyperlink w:anchor="_Toc38967973" w:history="1">
            <w:r w:rsidR="003E2382" w:rsidRPr="003E2382">
              <w:rPr>
                <w:rStyle w:val="aff0"/>
                <w:rFonts w:ascii="Palatino Linotype" w:hAnsi="Palatino Linotype" w:cs="Times New Roman"/>
                <w:noProof/>
                <w:sz w:val="20"/>
                <w:szCs w:val="20"/>
              </w:rPr>
              <w:t>3.4</w:t>
            </w:r>
            <w:r w:rsidR="003E2382" w:rsidRPr="003E2382">
              <w:rPr>
                <w:rFonts w:ascii="Palatino Linotype" w:hAnsi="Palatino Linotype"/>
                <w:i w:val="0"/>
                <w:noProof/>
                <w:kern w:val="2"/>
                <w:sz w:val="20"/>
                <w:szCs w:val="20"/>
              </w:rPr>
              <w:tab/>
            </w:r>
            <w:r w:rsidR="003E2382" w:rsidRPr="003E2382">
              <w:rPr>
                <w:rStyle w:val="aff0"/>
                <w:rFonts w:ascii="Palatino Linotype" w:hAnsi="Palatino Linotype" w:cs="Times New Roman"/>
                <w:noProof/>
                <w:sz w:val="20"/>
                <w:szCs w:val="20"/>
              </w:rPr>
              <w:t>Error propagation</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_Toc38967973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18</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21"/>
            <w:tabs>
              <w:tab w:val="right" w:leader="dot" w:pos="9736"/>
            </w:tabs>
            <w:spacing w:after="0" w:line="240" w:lineRule="auto"/>
            <w:rPr>
              <w:rFonts w:ascii="Palatino Linotype" w:hAnsi="Palatino Linotype"/>
              <w:i w:val="0"/>
              <w:noProof/>
              <w:kern w:val="2"/>
              <w:sz w:val="20"/>
              <w:szCs w:val="20"/>
            </w:rPr>
          </w:pPr>
          <w:hyperlink w:anchor="_Toc38967974" w:history="1">
            <w:r w:rsidR="003E2382" w:rsidRPr="003E2382">
              <w:rPr>
                <w:rStyle w:val="aff0"/>
                <w:rFonts w:ascii="Palatino Linotype" w:hAnsi="Palatino Linotype" w:cs="Times New Roman"/>
                <w:noProof/>
                <w:sz w:val="20"/>
                <w:szCs w:val="20"/>
              </w:rPr>
              <w:t>Appendix</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_Toc38967974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20</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right" w:leader="dot" w:pos="9736"/>
            </w:tabs>
            <w:spacing w:after="0" w:line="240" w:lineRule="auto"/>
            <w:rPr>
              <w:rFonts w:ascii="Palatino Linotype" w:hAnsi="Palatino Linotype"/>
              <w:i w:val="0"/>
              <w:noProof/>
              <w:kern w:val="2"/>
              <w:sz w:val="20"/>
              <w:szCs w:val="20"/>
            </w:rPr>
          </w:pPr>
          <w:hyperlink w:anchor="_Toc38967975" w:history="1">
            <w:r w:rsidR="003E2382" w:rsidRPr="003E2382">
              <w:rPr>
                <w:rStyle w:val="aff0"/>
                <w:rFonts w:ascii="Palatino Linotype" w:hAnsi="Palatino Linotype"/>
                <w:noProof/>
                <w:sz w:val="20"/>
                <w:szCs w:val="20"/>
              </w:rPr>
              <w:t>A1. Raw data used in kLa calculation</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_Toc38967975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20</w:t>
            </w:r>
            <w:r w:rsidR="003E2382" w:rsidRPr="003E2382">
              <w:rPr>
                <w:rFonts w:ascii="Palatino Linotype" w:hAnsi="Palatino Linotype"/>
                <w:noProof/>
                <w:webHidden/>
                <w:sz w:val="20"/>
                <w:szCs w:val="20"/>
              </w:rPr>
              <w:fldChar w:fldCharType="end"/>
            </w:r>
          </w:hyperlink>
        </w:p>
        <w:p w:rsidR="003E2382" w:rsidRPr="003E2382" w:rsidRDefault="0033302D" w:rsidP="003E2382">
          <w:pPr>
            <w:pStyle w:val="31"/>
            <w:tabs>
              <w:tab w:val="right" w:leader="dot" w:pos="9736"/>
            </w:tabs>
            <w:spacing w:after="0" w:line="240" w:lineRule="auto"/>
            <w:rPr>
              <w:rFonts w:ascii="Palatino Linotype" w:hAnsi="Palatino Linotype"/>
              <w:i w:val="0"/>
              <w:noProof/>
              <w:kern w:val="2"/>
              <w:sz w:val="20"/>
              <w:szCs w:val="20"/>
            </w:rPr>
          </w:pPr>
          <w:hyperlink w:anchor="_Toc38967976" w:history="1">
            <w:r w:rsidR="003E2382" w:rsidRPr="003E2382">
              <w:rPr>
                <w:rStyle w:val="aff0"/>
                <w:rFonts w:ascii="Palatino Linotype" w:hAnsi="Palatino Linotype"/>
                <w:noProof/>
                <w:sz w:val="20"/>
                <w:szCs w:val="20"/>
              </w:rPr>
              <w:t xml:space="preserve">A2. Calculation of </w:t>
            </w:r>
            <w:r w:rsidR="003E2382" w:rsidRPr="003E2382">
              <w:rPr>
                <w:rStyle w:val="aff0"/>
                <w:rFonts w:ascii="Palatino Linotype" w:hAnsi="Palatino Linotype"/>
                <w:noProof/>
                <w:sz w:val="20"/>
                <w:szCs w:val="20"/>
                <w:shd w:val="clear" w:color="auto" w:fill="FFFFFF"/>
              </w:rPr>
              <w:t>∆</w:t>
            </w:r>
            <w:r w:rsidR="003E2382" w:rsidRPr="003E2382">
              <w:rPr>
                <w:rStyle w:val="aff0"/>
                <w:rFonts w:ascii="Palatino Linotype" w:hAnsi="Palatino Linotype" w:cs="Times New Roman"/>
                <w:noProof/>
                <w:sz w:val="20"/>
                <w:szCs w:val="20"/>
                <w:shd w:val="clear" w:color="auto" w:fill="FFFFFF"/>
              </w:rPr>
              <w:t>[H</w:t>
            </w:r>
            <w:r w:rsidR="003E2382" w:rsidRPr="003E2382">
              <w:rPr>
                <w:rStyle w:val="aff0"/>
                <w:rFonts w:ascii="Palatino Linotype" w:hAnsi="Palatino Linotype" w:cs="Times New Roman"/>
                <w:noProof/>
                <w:sz w:val="20"/>
                <w:szCs w:val="20"/>
                <w:shd w:val="clear" w:color="auto" w:fill="FFFFFF"/>
                <w:vertAlign w:val="subscript"/>
              </w:rPr>
              <w:t>3</w:t>
            </w:r>
            <w:r w:rsidR="003E2382" w:rsidRPr="003E2382">
              <w:rPr>
                <w:rStyle w:val="aff0"/>
                <w:rFonts w:ascii="Palatino Linotype" w:hAnsi="Palatino Linotype" w:cs="Times New Roman"/>
                <w:noProof/>
                <w:sz w:val="20"/>
                <w:szCs w:val="20"/>
                <w:shd w:val="clear" w:color="auto" w:fill="FFFFFF"/>
              </w:rPr>
              <w:t>O</w:t>
            </w:r>
            <w:r w:rsidR="003E2382" w:rsidRPr="003E2382">
              <w:rPr>
                <w:rStyle w:val="aff0"/>
                <w:rFonts w:ascii="Palatino Linotype" w:hAnsi="Palatino Linotype" w:cs="Times New Roman"/>
                <w:noProof/>
                <w:sz w:val="20"/>
                <w:szCs w:val="20"/>
                <w:shd w:val="clear" w:color="auto" w:fill="FFFFFF"/>
                <w:vertAlign w:val="superscript"/>
              </w:rPr>
              <w:t>+</w:t>
            </w:r>
            <w:r w:rsidR="003E2382" w:rsidRPr="003E2382">
              <w:rPr>
                <w:rStyle w:val="aff0"/>
                <w:rFonts w:ascii="Palatino Linotype" w:hAnsi="Palatino Linotype" w:cs="Times New Roman"/>
                <w:noProof/>
                <w:sz w:val="20"/>
                <w:szCs w:val="20"/>
                <w:shd w:val="clear" w:color="auto" w:fill="FFFFFF"/>
              </w:rPr>
              <w:t>]</w:t>
            </w:r>
            <w:r w:rsidR="003E2382" w:rsidRPr="003E2382">
              <w:rPr>
                <w:rStyle w:val="aff0"/>
                <w:rFonts w:ascii="Palatino Linotype" w:hAnsi="Palatino Linotype" w:cs="Times New Roman"/>
                <w:noProof/>
                <w:sz w:val="20"/>
                <w:szCs w:val="20"/>
                <w:shd w:val="clear" w:color="auto" w:fill="FFFFFF"/>
                <w:vertAlign w:val="subscript"/>
              </w:rPr>
              <w:t>OA</w:t>
            </w:r>
            <w:r w:rsidR="003E2382" w:rsidRPr="003E2382">
              <w:rPr>
                <w:rStyle w:val="aff0"/>
                <w:rFonts w:ascii="Palatino Linotype" w:hAnsi="Palatino Linotype" w:cs="Times New Roman"/>
                <w:noProof/>
                <w:sz w:val="20"/>
                <w:szCs w:val="20"/>
                <w:shd w:val="clear" w:color="auto" w:fill="FFFFFF"/>
              </w:rPr>
              <w:t>, [AC]</w:t>
            </w:r>
            <w:r w:rsidR="003E2382" w:rsidRPr="003E2382">
              <w:rPr>
                <w:rStyle w:val="aff0"/>
                <w:rFonts w:ascii="Palatino Linotype" w:hAnsi="Palatino Linotype" w:cs="Times New Roman"/>
                <w:noProof/>
                <w:sz w:val="20"/>
                <w:szCs w:val="20"/>
                <w:shd w:val="clear" w:color="auto" w:fill="FFFFFF"/>
                <w:vertAlign w:val="subscript"/>
              </w:rPr>
              <w:t xml:space="preserve"> </w:t>
            </w:r>
            <w:r w:rsidR="003E2382" w:rsidRPr="003E2382">
              <w:rPr>
                <w:rStyle w:val="aff0"/>
                <w:rFonts w:ascii="Palatino Linotype" w:hAnsi="Palatino Linotype" w:cs="Times New Roman"/>
                <w:noProof/>
                <w:sz w:val="20"/>
                <w:szCs w:val="20"/>
                <w:shd w:val="clear" w:color="auto" w:fill="FFFFFF"/>
              </w:rPr>
              <w:t>and [MAL]</w:t>
            </w:r>
            <w:r w:rsidR="003E2382" w:rsidRPr="003E2382">
              <w:rPr>
                <w:rFonts w:ascii="Palatino Linotype" w:hAnsi="Palatino Linotype"/>
                <w:noProof/>
                <w:webHidden/>
                <w:sz w:val="20"/>
                <w:szCs w:val="20"/>
              </w:rPr>
              <w:tab/>
            </w:r>
            <w:r w:rsidR="003E2382" w:rsidRPr="003E2382">
              <w:rPr>
                <w:rFonts w:ascii="Palatino Linotype" w:hAnsi="Palatino Linotype"/>
                <w:noProof/>
                <w:webHidden/>
                <w:sz w:val="20"/>
                <w:szCs w:val="20"/>
              </w:rPr>
              <w:fldChar w:fldCharType="begin"/>
            </w:r>
            <w:r w:rsidR="003E2382" w:rsidRPr="003E2382">
              <w:rPr>
                <w:rFonts w:ascii="Palatino Linotype" w:hAnsi="Palatino Linotype"/>
                <w:noProof/>
                <w:webHidden/>
                <w:sz w:val="20"/>
                <w:szCs w:val="20"/>
              </w:rPr>
              <w:instrText xml:space="preserve"> PAGEREF _Toc38967976 \h </w:instrText>
            </w:r>
            <w:r w:rsidR="003E2382" w:rsidRPr="003E2382">
              <w:rPr>
                <w:rFonts w:ascii="Palatino Linotype" w:hAnsi="Palatino Linotype"/>
                <w:noProof/>
                <w:webHidden/>
                <w:sz w:val="20"/>
                <w:szCs w:val="20"/>
              </w:rPr>
            </w:r>
            <w:r w:rsidR="003E2382" w:rsidRPr="003E2382">
              <w:rPr>
                <w:rFonts w:ascii="Palatino Linotype" w:hAnsi="Palatino Linotype"/>
                <w:noProof/>
                <w:webHidden/>
                <w:sz w:val="20"/>
                <w:szCs w:val="20"/>
              </w:rPr>
              <w:fldChar w:fldCharType="separate"/>
            </w:r>
            <w:r w:rsidR="003E2382" w:rsidRPr="003E2382">
              <w:rPr>
                <w:rFonts w:ascii="Palatino Linotype" w:hAnsi="Palatino Linotype"/>
                <w:noProof/>
                <w:webHidden/>
                <w:sz w:val="20"/>
                <w:szCs w:val="20"/>
              </w:rPr>
              <w:t>21</w:t>
            </w:r>
            <w:r w:rsidR="003E2382" w:rsidRPr="003E2382">
              <w:rPr>
                <w:rFonts w:ascii="Palatino Linotype" w:hAnsi="Palatino Linotype"/>
                <w:noProof/>
                <w:webHidden/>
                <w:sz w:val="20"/>
                <w:szCs w:val="20"/>
              </w:rPr>
              <w:fldChar w:fldCharType="end"/>
            </w:r>
          </w:hyperlink>
        </w:p>
        <w:p w:rsidR="00B2409E" w:rsidRPr="008F4B40" w:rsidRDefault="00B2409E" w:rsidP="003E2382">
          <w:pPr>
            <w:spacing w:after="0" w:line="240" w:lineRule="auto"/>
            <w:rPr>
              <w:rFonts w:ascii="Palatino Linotype" w:hAnsi="Palatino Linotype" w:cs="Times New Roman"/>
              <w:sz w:val="20"/>
              <w:szCs w:val="20"/>
            </w:rPr>
          </w:pPr>
          <w:r w:rsidRPr="003E2382">
            <w:rPr>
              <w:rFonts w:ascii="Palatino Linotype" w:hAnsi="Palatino Linotype" w:cs="Times New Roman"/>
              <w:b/>
              <w:bCs/>
              <w:sz w:val="20"/>
              <w:szCs w:val="20"/>
              <w:lang w:val="zh-CN"/>
            </w:rPr>
            <w:fldChar w:fldCharType="end"/>
          </w:r>
        </w:p>
      </w:sdtContent>
    </w:sdt>
    <w:p w:rsidR="0061194A" w:rsidRPr="00F315E9" w:rsidRDefault="00F315E9" w:rsidP="0033302D">
      <w:pPr>
        <w:pStyle w:val="2"/>
        <w:numPr>
          <w:ilvl w:val="1"/>
          <w:numId w:val="5"/>
        </w:numPr>
        <w:spacing w:before="0" w:line="240" w:lineRule="auto"/>
        <w:rPr>
          <w:rFonts w:ascii="Palatino Linotype" w:hAnsi="Palatino Linotype" w:cs="Times New Roman"/>
          <w:sz w:val="20"/>
          <w:szCs w:val="20"/>
        </w:rPr>
      </w:pPr>
      <w:bookmarkStart w:id="2" w:name="_Toc38967958"/>
      <w:r>
        <w:rPr>
          <w:rFonts w:ascii="Palatino Linotype" w:hAnsi="Palatino Linotype" w:cs="Times New Roman"/>
          <w:color w:val="auto"/>
          <w:sz w:val="20"/>
          <w:szCs w:val="20"/>
        </w:rPr>
        <w:t>List</w:t>
      </w:r>
      <w:r w:rsidR="00FD5F37">
        <w:rPr>
          <w:rFonts w:ascii="Palatino Linotype" w:hAnsi="Palatino Linotype" w:cs="Times New Roman"/>
          <w:color w:val="auto"/>
          <w:sz w:val="20"/>
          <w:szCs w:val="20"/>
        </w:rPr>
        <w:t>s</w:t>
      </w:r>
      <w:r>
        <w:rPr>
          <w:rFonts w:ascii="Palatino Linotype" w:hAnsi="Palatino Linotype" w:cs="Times New Roman"/>
          <w:color w:val="auto"/>
          <w:sz w:val="20"/>
          <w:szCs w:val="20"/>
        </w:rPr>
        <w:t xml:space="preserve"> of abbreviation and acronyms</w:t>
      </w:r>
      <w:bookmarkEnd w:id="2"/>
    </w:p>
    <w:p w:rsidR="00F315E9" w:rsidRPr="008F4B40" w:rsidRDefault="00F315E9" w:rsidP="00F315E9">
      <w:pPr>
        <w:pStyle w:val="3"/>
        <w:numPr>
          <w:ilvl w:val="1"/>
          <w:numId w:val="32"/>
        </w:numPr>
        <w:spacing w:before="0"/>
        <w:rPr>
          <w:rFonts w:ascii="Palatino Linotype" w:hAnsi="Palatino Linotype" w:cs="Times New Roman"/>
          <w:color w:val="auto"/>
          <w:sz w:val="20"/>
          <w:szCs w:val="20"/>
        </w:rPr>
      </w:pPr>
      <w:bookmarkStart w:id="3" w:name="_Toc38967959"/>
      <w:r>
        <w:rPr>
          <w:rFonts w:ascii="Palatino Linotype" w:hAnsi="Palatino Linotype" w:cs="Times New Roman"/>
          <w:color w:val="auto"/>
          <w:sz w:val="20"/>
          <w:szCs w:val="20"/>
        </w:rPr>
        <w:t>General</w:t>
      </w:r>
      <w:bookmarkEnd w:id="3"/>
    </w:p>
    <w:tbl>
      <w:tblPr>
        <w:tblW w:w="8755" w:type="dxa"/>
        <w:jc w:val="center"/>
        <w:tblLook w:val="04A0" w:firstRow="1" w:lastRow="0" w:firstColumn="1" w:lastColumn="0" w:noHBand="0" w:noVBand="1"/>
      </w:tblPr>
      <w:tblGrid>
        <w:gridCol w:w="1668"/>
        <w:gridCol w:w="7087"/>
      </w:tblGrid>
      <w:tr w:rsidR="00F315E9" w:rsidRPr="00F315E9" w:rsidTr="0033302D">
        <w:trPr>
          <w:trHeight w:val="37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sz w:val="20"/>
                <w:szCs w:val="20"/>
              </w:rPr>
            </w:pPr>
            <w:r w:rsidRPr="00F315E9">
              <w:rPr>
                <w:rFonts w:ascii="Palatino Linotype" w:eastAsia="Times New Roman" w:hAnsi="Palatino Linotype" w:cs="Times New Roman"/>
                <w:sz w:val="20"/>
                <w:szCs w:val="20"/>
              </w:rPr>
              <w:t>∆</w:t>
            </w:r>
            <w:r w:rsidRPr="00F315E9">
              <w:rPr>
                <w:rFonts w:ascii="Palatino Linotype" w:eastAsia="Times New Roman" w:hAnsi="Palatino Linotype" w:cs="Times New Roman"/>
                <w:sz w:val="20"/>
                <w:szCs w:val="20"/>
                <w:vertAlign w:val="subscript"/>
              </w:rPr>
              <w:t>r</w:t>
            </w:r>
            <w:r w:rsidRPr="00F315E9">
              <w:rPr>
                <w:rFonts w:ascii="Palatino Linotype" w:eastAsia="Times New Roman" w:hAnsi="Palatino Linotype" w:cs="Times New Roman"/>
                <w:sz w:val="20"/>
                <w:szCs w:val="20"/>
              </w:rPr>
              <w:t>G</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Gibbs free energy change of reaction</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CCC</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Concentration control coefficient</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D.O.</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Dissolved oxygen</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DCW</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Dry cell weight (active biomass)</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DFBA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Dynamic flux balance analysis </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DOA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Dynamic optimisation approach</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DSMZ</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Deutsche Sammlung von Mikroorganismen und Zellkulturen</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FBA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Flux balance analysis</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FCC</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Flux control coefficient</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FVA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Flux variability analysis</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GC-FID</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Gas </w:t>
            </w:r>
            <w:r w:rsidRPr="00F315E9">
              <w:rPr>
                <w:rFonts w:ascii="Palatino Linotype" w:eastAsia="Times New Roman" w:hAnsi="Palatino Linotype" w:cs="Times New Roman"/>
                <w:noProof/>
                <w:sz w:val="20"/>
                <w:szCs w:val="20"/>
              </w:rPr>
              <w:t>chromatography – flame</w:t>
            </w:r>
            <w:r w:rsidRPr="00F315E9">
              <w:rPr>
                <w:rFonts w:ascii="Palatino Linotype" w:eastAsia="Times New Roman" w:hAnsi="Palatino Linotype" w:cs="Times New Roman"/>
                <w:sz w:val="20"/>
                <w:szCs w:val="20"/>
              </w:rPr>
              <w:t xml:space="preserve"> ionization detector </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GCM</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Group contribution method</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HPLC/RI</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noProof/>
                <w:sz w:val="20"/>
                <w:szCs w:val="20"/>
              </w:rPr>
              <w:t>High performance</w:t>
            </w:r>
            <w:r w:rsidRPr="00F315E9">
              <w:rPr>
                <w:rFonts w:ascii="Palatino Linotype" w:eastAsia="Times New Roman" w:hAnsi="Palatino Linotype" w:cs="Times New Roman"/>
                <w:sz w:val="20"/>
                <w:szCs w:val="20"/>
              </w:rPr>
              <w:t xml:space="preserve"> liquid chromatography/refractive index detectors</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ICI</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Imperial Chemical Industries PLC</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noProof/>
                <w:sz w:val="20"/>
                <w:szCs w:val="20"/>
              </w:rPr>
              <w:t>kLa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Mass </w:t>
            </w:r>
            <w:r w:rsidRPr="00F315E9">
              <w:rPr>
                <w:rFonts w:ascii="Palatino Linotype" w:eastAsia="Times New Roman" w:hAnsi="Palatino Linotype" w:cs="Times New Roman"/>
                <w:noProof/>
                <w:sz w:val="20"/>
                <w:szCs w:val="20"/>
              </w:rPr>
              <w:t>tranfer</w:t>
            </w:r>
            <w:r w:rsidRPr="00F315E9">
              <w:rPr>
                <w:rFonts w:ascii="Palatino Linotype" w:eastAsia="Times New Roman" w:hAnsi="Palatino Linotype" w:cs="Times New Roman"/>
                <w:sz w:val="20"/>
                <w:szCs w:val="20"/>
              </w:rPr>
              <w:t xml:space="preserve"> coefficient</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LP</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Linear programming</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MCA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Metabolic control analysis</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MFA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Metabolic flux analysis</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MOMA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Minimisation of metabolic adjustment</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MP</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Melting point</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NLP </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None-linear programming</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lastRenderedPageBreak/>
              <w:t>O.D.</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Optical density</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obj</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Objective function</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ODE</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Ordinary differential equation</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OTR</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Oxygen transfer rate </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OUR</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Oxygen uptake rate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 xml:space="preserve">PCHIP </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Piecewise cubic </w:t>
            </w:r>
            <w:r w:rsidRPr="00F315E9">
              <w:rPr>
                <w:rFonts w:ascii="Palatino Linotype" w:eastAsia="Times New Roman" w:hAnsi="Palatino Linotype" w:cs="Times New Roman"/>
                <w:noProof/>
                <w:sz w:val="20"/>
                <w:szCs w:val="20"/>
              </w:rPr>
              <w:t>hermite</w:t>
            </w:r>
            <w:r w:rsidRPr="00F315E9">
              <w:rPr>
                <w:rFonts w:ascii="Palatino Linotype" w:eastAsia="Times New Roman" w:hAnsi="Palatino Linotype" w:cs="Times New Roman"/>
                <w:sz w:val="20"/>
                <w:szCs w:val="20"/>
              </w:rPr>
              <w:t xml:space="preserve"> interpolating polynomial</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PSSA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Pseudo steady state assumption</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color w:val="000000"/>
                <w:sz w:val="20"/>
                <w:szCs w:val="20"/>
              </w:rPr>
            </w:pPr>
            <w:r w:rsidRPr="00F315E9">
              <w:rPr>
                <w:rFonts w:ascii="Palatino Linotype" w:eastAsia="Times New Roman" w:hAnsi="Palatino Linotype" w:cs="Times New Roman"/>
                <w:color w:val="000000"/>
                <w:sz w:val="20"/>
                <w:szCs w:val="20"/>
              </w:rPr>
              <w:t>ROS</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Reactive oxygen species</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Stoihiometric matrix</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SOA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Static optimisation approach</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TBFE</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Thermodynamic-based flux estimation</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TDW</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Total dry weight</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v</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Flux vector</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vvm</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Volume per volume per minute</w:t>
            </w:r>
          </w:p>
        </w:tc>
      </w:tr>
    </w:tbl>
    <w:p w:rsidR="00F315E9" w:rsidRPr="008F4B40" w:rsidRDefault="00F315E9" w:rsidP="00F315E9">
      <w:pPr>
        <w:pStyle w:val="3"/>
        <w:numPr>
          <w:ilvl w:val="1"/>
          <w:numId w:val="32"/>
        </w:numPr>
        <w:spacing w:before="0"/>
        <w:rPr>
          <w:rFonts w:ascii="Palatino Linotype" w:hAnsi="Palatino Linotype" w:cs="Times New Roman"/>
          <w:color w:val="auto"/>
          <w:sz w:val="20"/>
          <w:szCs w:val="20"/>
        </w:rPr>
      </w:pPr>
      <w:bookmarkStart w:id="4" w:name="_Toc38967960"/>
      <w:bookmarkStart w:id="5" w:name="OLE_LINK1"/>
      <w:bookmarkStart w:id="6" w:name="OLE_LINK2"/>
      <w:r w:rsidRPr="00F315E9">
        <w:rPr>
          <w:rFonts w:ascii="Palatino Linotype" w:hAnsi="Palatino Linotype" w:cs="Times New Roman"/>
          <w:color w:val="auto"/>
          <w:sz w:val="20"/>
          <w:szCs w:val="20"/>
        </w:rPr>
        <w:t>Chemical species and metabolic pathways</w:t>
      </w:r>
      <w:bookmarkEnd w:id="4"/>
    </w:p>
    <w:tbl>
      <w:tblPr>
        <w:tblW w:w="8755" w:type="dxa"/>
        <w:jc w:val="center"/>
        <w:tblLook w:val="04A0" w:firstRow="1" w:lastRow="0" w:firstColumn="1" w:lastColumn="0" w:noHBand="0" w:noVBand="1"/>
      </w:tblPr>
      <w:tblGrid>
        <w:gridCol w:w="1668"/>
        <w:gridCol w:w="7087"/>
      </w:tblGrid>
      <w:tr w:rsidR="00F315E9" w:rsidRPr="00F315E9" w:rsidTr="0033302D">
        <w:trPr>
          <w:trHeight w:val="315"/>
          <w:jc w:val="center"/>
        </w:trPr>
        <w:tc>
          <w:tcPr>
            <w:tcW w:w="1668" w:type="dxa"/>
            <w:shd w:val="clear" w:color="auto" w:fill="auto"/>
            <w:noWrap/>
            <w:vAlign w:val="center"/>
            <w:hideMark/>
          </w:tcPr>
          <w:bookmarkEnd w:id="5"/>
          <w:bookmarkEnd w:id="6"/>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13PDG</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1,3-Bisphospho-D-glycerate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2PG</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2-phospho-D-glycerate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3GR</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D-glyceraldehyde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3HB-CoA</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3-(hydroxybutyric acid)-CoA</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3HH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3-</w:t>
            </w:r>
            <w:r w:rsidRPr="00F315E9">
              <w:rPr>
                <w:rFonts w:ascii="Palatino Linotype" w:eastAsia="Times New Roman" w:hAnsi="Palatino Linotype" w:cs="Times New Roman"/>
                <w:noProof/>
                <w:sz w:val="20"/>
                <w:szCs w:val="20"/>
              </w:rPr>
              <w:t>hydroxyhexanoate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3HP</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3-hydroxypropanoate </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3HV</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3-hydroxyvalerate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3PG</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3-</w:t>
            </w:r>
            <w:r w:rsidRPr="00F315E9">
              <w:rPr>
                <w:rFonts w:ascii="Palatino Linotype" w:eastAsia="Times New Roman" w:hAnsi="Palatino Linotype" w:cs="Times New Roman"/>
                <w:noProof/>
                <w:sz w:val="20"/>
                <w:szCs w:val="20"/>
              </w:rPr>
              <w:t>phospho</w:t>
            </w:r>
            <w:r w:rsidRPr="00F315E9">
              <w:rPr>
                <w:rFonts w:ascii="Palatino Linotype" w:eastAsia="Times New Roman" w:hAnsi="Palatino Linotype" w:cs="Times New Roman"/>
                <w:sz w:val="20"/>
                <w:szCs w:val="20"/>
              </w:rPr>
              <w:t>-D-glycerate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4HB</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4-hydroxybutyrate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6PGC</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6-phosphogluconate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6PGL</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6-phosphogluconolactone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AACCoA</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Acetoacetyl-CoA</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Acetate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ACAL</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Acetaldehyde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ACCoA</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Acetyl-CoA</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ACTAC</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Acetoacetate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ADP</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Adenosine diphosphate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AKG</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β-oxoglutarate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ATP</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Adenosine triphosphate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cAMP</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Cyclic adenosine monophosphate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CCR </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Carbon catabolite repression</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CIT</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Citrate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CoA</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Coenzyme A</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DGY</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D-glycerate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DHA</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Dihydroxyacetone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Dpi</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Diphosphate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E4P</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D-Erythrose-4-phosphate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ED</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Entner–Doudoroff (pathway)</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EMP </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Embden–Meyerhof–Parnas (pathway)</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lastRenderedPageBreak/>
              <w:t>ETC</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Electrol transport chain</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ETH</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Ethanol</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F6P</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Fructose-6-phosphate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FAD+</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Flavin adenine dinucleotide (oxidised)</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FADH2</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Flavin adenine dinucleotide (reduced)</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FBP</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Fructose-bisphosphatase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FUM</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Fumarate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G6P</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Glucose-6-phosphate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GL3P</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sn-glycerol-3-phosphate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GLA</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Glyceraldehyde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GLC</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Glucose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GLN</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Glutamine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GLU</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Glutamate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GLY</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Glycerol</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HA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noProof/>
                <w:sz w:val="20"/>
                <w:szCs w:val="20"/>
              </w:rPr>
              <w:t>Hydroxyalkanoate</w:t>
            </w:r>
            <w:r w:rsidRPr="00F315E9">
              <w:rPr>
                <w:rFonts w:ascii="Palatino Linotype" w:eastAsia="Times New Roman" w:hAnsi="Palatino Linotype" w:cs="Times New Roman"/>
                <w:sz w:val="20"/>
                <w:szCs w:val="20"/>
              </w:rPr>
              <w:t xml:space="preserve"> </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ICIT</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Isocitrate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KDPG</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2-dehydro-3-deoxy-6-phospho-D-gluconate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LAC</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Lactate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MAL</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Malate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mcl-PHA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Medium-chain-length </w:t>
            </w:r>
            <w:r w:rsidRPr="00F315E9">
              <w:rPr>
                <w:rFonts w:ascii="Palatino Linotype" w:eastAsia="Times New Roman" w:hAnsi="Palatino Linotype" w:cs="Times New Roman"/>
                <w:noProof/>
                <w:sz w:val="20"/>
                <w:szCs w:val="20"/>
              </w:rPr>
              <w:t>polyhydroxybutanoate</w:t>
            </w:r>
          </w:p>
        </w:tc>
      </w:tr>
      <w:tr w:rsidR="00F315E9" w:rsidRPr="00F315E9" w:rsidTr="0033302D">
        <w:trPr>
          <w:trHeight w:val="315"/>
          <w:jc w:val="center"/>
        </w:trPr>
        <w:tc>
          <w:tcPr>
            <w:tcW w:w="1668"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NAD+</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Nicotinamide adenine dinucleotide (oxidised)</w:t>
            </w:r>
          </w:p>
        </w:tc>
      </w:tr>
      <w:tr w:rsidR="00F315E9" w:rsidRPr="00F315E9" w:rsidTr="0033302D">
        <w:trPr>
          <w:trHeight w:val="315"/>
          <w:jc w:val="center"/>
        </w:trPr>
        <w:tc>
          <w:tcPr>
            <w:tcW w:w="1668"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NADH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Nicotinamide adenine dinucleotide (reduced)</w:t>
            </w:r>
          </w:p>
        </w:tc>
      </w:tr>
      <w:tr w:rsidR="00F315E9" w:rsidRPr="00F315E9" w:rsidTr="0033302D">
        <w:trPr>
          <w:trHeight w:val="315"/>
          <w:jc w:val="center"/>
        </w:trPr>
        <w:tc>
          <w:tcPr>
            <w:tcW w:w="1668"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NADP+</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Nicotinamide adenine dinucleotide phosphate (oxidised)</w:t>
            </w:r>
          </w:p>
        </w:tc>
      </w:tr>
      <w:tr w:rsidR="00F315E9" w:rsidRPr="00F315E9" w:rsidTr="0033302D">
        <w:trPr>
          <w:trHeight w:val="315"/>
          <w:jc w:val="center"/>
        </w:trPr>
        <w:tc>
          <w:tcPr>
            <w:tcW w:w="1668"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NADPH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Nicotinamide adenine dinucleotide phosphate (reduced)</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OA</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Oxaloacetate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P(3HB-4HB)</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Poly(3-hydroxybutyrate-co-4-hydroxybutyrate)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PEP </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Phosphenolpyruvate </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PG</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Phosphoglycerate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noProof/>
                <w:sz w:val="20"/>
                <w:szCs w:val="20"/>
              </w:rPr>
              <w:t>Polyhydroxybutanoate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PHB/P(3HB)</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Poly(3-hydroxybutyric acid)</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PHBH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Poly(3-hydroxybutyrate-co-3-hydroxyhexanate) </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PHVB</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Poly(3-hydroxybutyrate-co-3-hydroxyvalerate) </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Pi</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Phosphate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PP</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Polypropylene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PPP</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Pentose phosphate pathway</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PTS</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Phosphotransferase system</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PYR</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Pyruvate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R5P</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D-Ribose-5-phosphate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RIL5P</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D-Ribulose-5-Phosphate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RP</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noProof/>
                <w:sz w:val="20"/>
                <w:szCs w:val="20"/>
              </w:rPr>
              <w:t>Ribose phosphate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S7P</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D-Sedoheptulose-7-phosphate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scl-PHA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Short-chain-length polyhydroxybutanoate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SUCC</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Succinate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SUCCoA</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Succinyl-CoA</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lastRenderedPageBreak/>
              <w:t>T3P1</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Glyceraldehyde-3-phosphate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T3P2</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Dihydroxyacetone Phosphate</w:t>
            </w:r>
          </w:p>
        </w:tc>
      </w:tr>
      <w:tr w:rsidR="00F315E9" w:rsidRPr="00F315E9" w:rsidTr="0033302D">
        <w:trPr>
          <w:trHeight w:val="315"/>
          <w:jc w:val="center"/>
        </w:trPr>
        <w:tc>
          <w:tcPr>
            <w:tcW w:w="1668"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TCA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Tricarboxylic acid cycle (The Kreb Cycle)</w:t>
            </w:r>
          </w:p>
        </w:tc>
      </w:tr>
      <w:tr w:rsidR="00F315E9" w:rsidRPr="00F315E9" w:rsidTr="0033302D">
        <w:trPr>
          <w:trHeight w:val="315"/>
          <w:jc w:val="center"/>
        </w:trPr>
        <w:tc>
          <w:tcPr>
            <w:tcW w:w="1668"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X5P</w:t>
            </w:r>
          </w:p>
        </w:tc>
        <w:tc>
          <w:tcPr>
            <w:tcW w:w="7087" w:type="dxa"/>
            <w:shd w:val="clear" w:color="auto" w:fill="auto"/>
            <w:noWrap/>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D-Xylulose-5-phosphate</w:t>
            </w:r>
          </w:p>
        </w:tc>
      </w:tr>
    </w:tbl>
    <w:p w:rsidR="00F315E9" w:rsidRPr="008F4B40" w:rsidRDefault="00F315E9" w:rsidP="00F315E9">
      <w:pPr>
        <w:pStyle w:val="3"/>
        <w:numPr>
          <w:ilvl w:val="1"/>
          <w:numId w:val="32"/>
        </w:numPr>
        <w:spacing w:before="0"/>
        <w:rPr>
          <w:rFonts w:ascii="Palatino Linotype" w:hAnsi="Palatino Linotype" w:cs="Times New Roman"/>
          <w:color w:val="auto"/>
          <w:sz w:val="20"/>
          <w:szCs w:val="20"/>
        </w:rPr>
      </w:pPr>
      <w:bookmarkStart w:id="7" w:name="_Toc38967961"/>
      <w:r>
        <w:rPr>
          <w:rFonts w:ascii="Palatino Linotype" w:hAnsi="Palatino Linotype" w:cs="Times New Roman"/>
          <w:color w:val="auto"/>
          <w:sz w:val="20"/>
          <w:szCs w:val="20"/>
        </w:rPr>
        <w:t>Enzymes</w:t>
      </w:r>
      <w:bookmarkEnd w:id="7"/>
    </w:p>
    <w:tbl>
      <w:tblPr>
        <w:tblW w:w="8662" w:type="dxa"/>
        <w:jc w:val="center"/>
        <w:tblLook w:val="04A0" w:firstRow="1" w:lastRow="0" w:firstColumn="1" w:lastColumn="0" w:noHBand="0" w:noVBand="1"/>
      </w:tblPr>
      <w:tblGrid>
        <w:gridCol w:w="1575"/>
        <w:gridCol w:w="7087"/>
      </w:tblGrid>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2PGE</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2-phosphoglycerate dehydratase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6PGLS</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6-phosphogluconolactonase </w:t>
            </w:r>
          </w:p>
        </w:tc>
      </w:tr>
      <w:tr w:rsidR="00F315E9" w:rsidRPr="00F315E9" w:rsidTr="0033302D">
        <w:trPr>
          <w:trHeight w:val="315"/>
          <w:jc w:val="center"/>
        </w:trPr>
        <w:tc>
          <w:tcPr>
            <w:tcW w:w="1575"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AACS</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Acetoacetate-CoA ligase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AAR</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Acetoacetyl-CoA reductase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ACCoAH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noProof/>
                <w:sz w:val="20"/>
                <w:szCs w:val="20"/>
              </w:rPr>
              <w:t>Acetyl coenzyme</w:t>
            </w:r>
            <w:r w:rsidRPr="00F315E9">
              <w:rPr>
                <w:rFonts w:ascii="Palatino Linotype" w:eastAsia="Times New Roman" w:hAnsi="Palatino Linotype" w:cs="Times New Roman"/>
                <w:sz w:val="20"/>
                <w:szCs w:val="20"/>
              </w:rPr>
              <w:t xml:space="preserve"> A hydrolase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ACN</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Aconitate hydratase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ALDH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Aldehyde dehydrogenase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ALDR</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Aldehyde reductase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CS</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Citrate synthase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EDD</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Phosphogluconate dehydratase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FBA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Fructose-bisphosphate aldolase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FBPase</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Fructose </w:t>
            </w:r>
            <w:r w:rsidRPr="00F315E9">
              <w:rPr>
                <w:rFonts w:ascii="Palatino Linotype" w:eastAsia="Times New Roman" w:hAnsi="Palatino Linotype" w:cs="Times New Roman"/>
                <w:noProof/>
                <w:sz w:val="20"/>
                <w:szCs w:val="20"/>
              </w:rPr>
              <w:t>bisphosphatase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FUM</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Fumarate hydratase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G6PDH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G6P dehydrogenase </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GAPDH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Glyceraldehyde-3-phosphate dehydrogenase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GCK</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Glycerate Kinase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GCK</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Glucokinase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GLDH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Glutamate dehydrogenase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GLF</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Glycerol diiffusion facilitator</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GLK</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Glycerol kinase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GND</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6-phosphogluconate dehydrogenase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GPDH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G6P dehydrogenase </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GPI</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Glucose-6-phosphate isomerase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GS</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Glutamine synthetase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ICD</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Isocitrate dehydrogenase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ICL</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Isocitrate </w:t>
            </w:r>
            <w:r w:rsidRPr="00F315E9">
              <w:rPr>
                <w:rFonts w:ascii="Palatino Linotype" w:eastAsia="Times New Roman" w:hAnsi="Palatino Linotype" w:cs="Times New Roman"/>
                <w:noProof/>
                <w:sz w:val="20"/>
                <w:szCs w:val="20"/>
              </w:rPr>
              <w:t>lyase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KDPGA</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KDPG aldolases </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MALS</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Malate synthase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MDH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Malate dehydrogenase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OGDC</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Oxoglutarate dehydrogenase complex</w:t>
            </w:r>
          </w:p>
        </w:tc>
      </w:tr>
      <w:tr w:rsidR="00F315E9" w:rsidRPr="00F315E9" w:rsidTr="0033302D">
        <w:trPr>
          <w:trHeight w:val="315"/>
          <w:jc w:val="center"/>
        </w:trPr>
        <w:tc>
          <w:tcPr>
            <w:tcW w:w="1575" w:type="dxa"/>
            <w:shd w:val="clear" w:color="auto" w:fill="auto"/>
            <w:vAlign w:val="center"/>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PFK-1</w:t>
            </w:r>
          </w:p>
        </w:tc>
        <w:tc>
          <w:tcPr>
            <w:tcW w:w="7087" w:type="dxa"/>
            <w:shd w:val="clear" w:color="auto" w:fill="auto"/>
            <w:noWrap/>
            <w:vAlign w:val="bottom"/>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Phosphofructokinase-1 </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PGK</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Phosphoglycerate kinase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PGM</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 xml:space="preserve">Phosphoglycerate </w:t>
            </w:r>
            <w:r w:rsidRPr="00F315E9">
              <w:rPr>
                <w:rFonts w:ascii="Palatino Linotype" w:eastAsia="Times New Roman" w:hAnsi="Palatino Linotype" w:cs="Times New Roman"/>
                <w:noProof/>
                <w:sz w:val="20"/>
                <w:szCs w:val="20"/>
              </w:rPr>
              <w:t>mutase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PPC</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Phosphoenolpyruvate carboxykinase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PYC</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Pyruvate carboxylase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PYK</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Pyruvate kinase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RPE</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Ribulose-phosphate 3-epimerase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RPI</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Ribose-5-phosphate isomerase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SCS</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Succinyl-CoA synthetase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lastRenderedPageBreak/>
              <w:t>SDH</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Succinate dehydrogenase </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TAL</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Transaldolase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TK</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Transketolase</w:t>
            </w:r>
          </w:p>
        </w:tc>
      </w:tr>
      <w:tr w:rsidR="00F315E9" w:rsidRPr="00F315E9" w:rsidTr="0033302D">
        <w:trPr>
          <w:trHeight w:val="315"/>
          <w:jc w:val="center"/>
        </w:trPr>
        <w:tc>
          <w:tcPr>
            <w:tcW w:w="1575" w:type="dxa"/>
            <w:shd w:val="clear" w:color="auto" w:fill="auto"/>
            <w:vAlign w:val="center"/>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TPI</w:t>
            </w:r>
          </w:p>
        </w:tc>
        <w:tc>
          <w:tcPr>
            <w:tcW w:w="7087" w:type="dxa"/>
            <w:shd w:val="clear" w:color="auto" w:fill="auto"/>
            <w:noWrap/>
            <w:vAlign w:val="bottom"/>
            <w:hideMark/>
          </w:tcPr>
          <w:p w:rsidR="00F315E9" w:rsidRPr="00F315E9" w:rsidRDefault="00F315E9" w:rsidP="0033302D">
            <w:pPr>
              <w:spacing w:after="0" w:line="240" w:lineRule="auto"/>
              <w:rPr>
                <w:rFonts w:ascii="Palatino Linotype" w:eastAsia="Times New Roman" w:hAnsi="Palatino Linotype" w:cs="Times New Roman"/>
                <w:i/>
                <w:iCs/>
                <w:sz w:val="20"/>
                <w:szCs w:val="20"/>
              </w:rPr>
            </w:pPr>
            <w:r w:rsidRPr="00F315E9">
              <w:rPr>
                <w:rFonts w:ascii="Palatino Linotype" w:eastAsia="Times New Roman" w:hAnsi="Palatino Linotype" w:cs="Times New Roman"/>
                <w:sz w:val="20"/>
                <w:szCs w:val="20"/>
              </w:rPr>
              <w:t>Triose-phosphate isomerase</w:t>
            </w:r>
          </w:p>
        </w:tc>
      </w:tr>
    </w:tbl>
    <w:p w:rsidR="00F315E9" w:rsidRPr="008F4B40" w:rsidRDefault="00F315E9" w:rsidP="008802B1">
      <w:pPr>
        <w:spacing w:line="240" w:lineRule="auto"/>
        <w:rPr>
          <w:rFonts w:ascii="Palatino Linotype" w:hAnsi="Palatino Linotype" w:cs="Times New Roman"/>
          <w:sz w:val="20"/>
          <w:szCs w:val="20"/>
        </w:rPr>
      </w:pPr>
    </w:p>
    <w:p w:rsidR="008802B1" w:rsidRPr="008F4B40" w:rsidRDefault="008802B1" w:rsidP="008802B1">
      <w:pPr>
        <w:pStyle w:val="2"/>
        <w:numPr>
          <w:ilvl w:val="1"/>
          <w:numId w:val="5"/>
        </w:numPr>
        <w:spacing w:before="0" w:line="240" w:lineRule="auto"/>
        <w:rPr>
          <w:rFonts w:ascii="Palatino Linotype" w:hAnsi="Palatino Linotype" w:cs="Times New Roman"/>
          <w:color w:val="auto"/>
          <w:sz w:val="20"/>
          <w:szCs w:val="20"/>
        </w:rPr>
      </w:pPr>
      <w:bookmarkStart w:id="8" w:name="_Toc38967962"/>
      <w:r w:rsidRPr="008F4B40">
        <w:rPr>
          <w:rFonts w:ascii="Palatino Linotype" w:hAnsi="Palatino Linotype" w:cs="Times New Roman"/>
          <w:color w:val="auto"/>
          <w:sz w:val="20"/>
          <w:szCs w:val="20"/>
        </w:rPr>
        <w:t>Analytical assay methods</w:t>
      </w:r>
      <w:bookmarkEnd w:id="1"/>
      <w:bookmarkEnd w:id="0"/>
      <w:bookmarkEnd w:id="8"/>
    </w:p>
    <w:p w:rsidR="008802B1" w:rsidRPr="008F4B40" w:rsidRDefault="008802B1" w:rsidP="00F315E9">
      <w:pPr>
        <w:pStyle w:val="3"/>
        <w:numPr>
          <w:ilvl w:val="1"/>
          <w:numId w:val="33"/>
        </w:numPr>
        <w:spacing w:before="0"/>
        <w:rPr>
          <w:rFonts w:ascii="Palatino Linotype" w:hAnsi="Palatino Linotype" w:cs="Times New Roman"/>
          <w:color w:val="auto"/>
          <w:sz w:val="20"/>
          <w:szCs w:val="20"/>
        </w:rPr>
      </w:pPr>
      <w:bookmarkStart w:id="9" w:name="_Toc500722086"/>
      <w:bookmarkStart w:id="10" w:name="_Toc38967963"/>
      <w:r w:rsidRPr="008F4B40">
        <w:rPr>
          <w:rFonts w:ascii="Palatino Linotype" w:hAnsi="Palatino Linotype" w:cs="Times New Roman"/>
          <w:color w:val="auto"/>
          <w:sz w:val="20"/>
          <w:szCs w:val="20"/>
        </w:rPr>
        <w:t>Total dry weight measurement</w:t>
      </w:r>
      <w:bookmarkEnd w:id="9"/>
      <w:bookmarkEnd w:id="10"/>
    </w:p>
    <w:p w:rsidR="008802B1" w:rsidRPr="008F4B40" w:rsidRDefault="008802B1" w:rsidP="008802B1">
      <w:pPr>
        <w:pStyle w:val="4"/>
        <w:spacing w:before="0"/>
        <w:rPr>
          <w:rFonts w:ascii="Palatino Linotype" w:hAnsi="Palatino Linotype" w:cs="Times New Roman"/>
          <w:color w:val="auto"/>
          <w:sz w:val="20"/>
          <w:szCs w:val="20"/>
          <w:shd w:val="clear" w:color="auto" w:fill="FFFFFF"/>
        </w:rPr>
      </w:pPr>
      <w:bookmarkStart w:id="11" w:name="OLE_LINK152"/>
      <w:bookmarkStart w:id="12" w:name="OLE_LINK159"/>
      <w:r w:rsidRPr="008F4B40">
        <w:rPr>
          <w:rFonts w:ascii="Palatino Linotype" w:hAnsi="Palatino Linotype" w:cs="Times New Roman"/>
          <w:color w:val="auto"/>
          <w:sz w:val="20"/>
          <w:szCs w:val="20"/>
          <w:shd w:val="clear" w:color="auto" w:fill="FFFFFF"/>
        </w:rPr>
        <w:t>Gravimetric method</w:t>
      </w:r>
    </w:p>
    <w:bookmarkEnd w:id="11"/>
    <w:bookmarkEnd w:id="12"/>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rPr>
        <w:t xml:space="preserve">The total dry cell weight (TDW) is the sum of the quantities of both active biomass (DCW) and intracellular PHB. TDW was first measured gravimetrically: a known volume </w:t>
      </w:r>
      <w:r w:rsidRPr="008F4B40">
        <w:rPr>
          <w:rFonts w:ascii="Palatino Linotype" w:hAnsi="Palatino Linotype" w:cs="Times New Roman"/>
          <w:b/>
          <w:sz w:val="20"/>
          <w:szCs w:val="20"/>
        </w:rPr>
        <w:t>V</w:t>
      </w:r>
      <w:r w:rsidRPr="008F4B40">
        <w:rPr>
          <w:rFonts w:ascii="Palatino Linotype" w:hAnsi="Palatino Linotype" w:cs="Times New Roman"/>
          <w:sz w:val="20"/>
          <w:szCs w:val="20"/>
        </w:rPr>
        <w:t xml:space="preserve"> of cell suspension was transferred to a pre-weighed </w:t>
      </w:r>
      <w:r w:rsidRPr="008F4B40">
        <w:rPr>
          <w:rFonts w:ascii="Palatino Linotype" w:hAnsi="Palatino Linotype" w:cs="Times New Roman"/>
          <w:sz w:val="20"/>
          <w:szCs w:val="20"/>
          <w:shd w:val="clear" w:color="auto" w:fill="FFFFFF"/>
        </w:rPr>
        <w:t>(</w:t>
      </w:r>
      <w:r w:rsidRPr="008F4B40">
        <w:rPr>
          <w:rFonts w:ascii="Palatino Linotype" w:hAnsi="Palatino Linotype" w:cs="Times New Roman"/>
          <w:b/>
          <w:sz w:val="20"/>
          <w:szCs w:val="20"/>
          <w:shd w:val="clear" w:color="auto" w:fill="FFFFFF"/>
        </w:rPr>
        <w:t>W</w:t>
      </w:r>
      <w:r w:rsidRPr="008F4B40">
        <w:rPr>
          <w:rFonts w:ascii="Palatino Linotype" w:hAnsi="Palatino Linotype" w:cs="Times New Roman"/>
          <w:b/>
          <w:sz w:val="20"/>
          <w:szCs w:val="20"/>
          <w:shd w:val="clear" w:color="auto" w:fill="FFFFFF"/>
          <w:vertAlign w:val="subscript"/>
        </w:rPr>
        <w:t>1</w:t>
      </w:r>
      <w:r w:rsidRPr="008F4B40">
        <w:rPr>
          <w:rFonts w:ascii="Palatino Linotype" w:hAnsi="Palatino Linotype" w:cs="Times New Roman"/>
          <w:b/>
          <w:sz w:val="20"/>
          <w:szCs w:val="20"/>
          <w:shd w:val="clear" w:color="auto" w:fill="FFFFFF"/>
        </w:rPr>
        <w:t xml:space="preserve"> g</w:t>
      </w:r>
      <w:r w:rsidRPr="008F4B40">
        <w:rPr>
          <w:rFonts w:ascii="Palatino Linotype" w:hAnsi="Palatino Linotype" w:cs="Times New Roman"/>
          <w:sz w:val="20"/>
          <w:szCs w:val="20"/>
          <w:shd w:val="clear" w:color="auto" w:fill="FFFFFF"/>
        </w:rPr>
        <w:t xml:space="preserve">) </w:t>
      </w:r>
      <w:r w:rsidRPr="008F4B40">
        <w:rPr>
          <w:rFonts w:ascii="Palatino Linotype" w:hAnsi="Palatino Linotype" w:cs="Times New Roman"/>
          <w:sz w:val="20"/>
          <w:szCs w:val="20"/>
        </w:rPr>
        <w:t xml:space="preserve">centrifuge tube and centrifuged at 14000 G for 5 minutes (Typically, </w:t>
      </w:r>
      <w:r w:rsidRPr="008F4B40">
        <w:rPr>
          <w:rFonts w:ascii="Palatino Linotype" w:hAnsi="Palatino Linotype" w:cs="Times New Roman"/>
          <w:b/>
          <w:sz w:val="20"/>
          <w:szCs w:val="20"/>
        </w:rPr>
        <w:t>V</w:t>
      </w:r>
      <w:r w:rsidRPr="008F4B40">
        <w:rPr>
          <w:rFonts w:ascii="Palatino Linotype" w:hAnsi="Palatino Linotype" w:cs="Times New Roman"/>
          <w:sz w:val="20"/>
          <w:szCs w:val="20"/>
        </w:rPr>
        <w:t xml:space="preserve"> equals 5 ml for bioreactor experiments and 1.5 ml for flask experiments). </w:t>
      </w:r>
      <w:r w:rsidRPr="008F4B40">
        <w:rPr>
          <w:rFonts w:ascii="Palatino Linotype" w:hAnsi="Palatino Linotype" w:cs="Times New Roman"/>
          <w:sz w:val="20"/>
          <w:szCs w:val="20"/>
          <w:shd w:val="clear" w:color="auto" w:fill="FFFFFF"/>
        </w:rPr>
        <w:t xml:space="preserve">The resulting cell pellet was washed thoroughly with distilled water once and re-centrifuged to remove remaining nutrients. The supernatant was preserved in -30 ºC for later assay. The washed cell pellet </w:t>
      </w:r>
      <w:r w:rsidRPr="008F4B40">
        <w:rPr>
          <w:rFonts w:ascii="Palatino Linotype" w:hAnsi="Palatino Linotype" w:cs="Times New Roman"/>
          <w:noProof/>
          <w:sz w:val="20"/>
          <w:szCs w:val="20"/>
          <w:shd w:val="clear" w:color="auto" w:fill="FFFFFF"/>
        </w:rPr>
        <w:t>was</w:t>
      </w:r>
      <w:r w:rsidRPr="008F4B40">
        <w:rPr>
          <w:rFonts w:ascii="Palatino Linotype" w:hAnsi="Palatino Linotype" w:cs="Times New Roman"/>
          <w:sz w:val="20"/>
          <w:szCs w:val="20"/>
          <w:shd w:val="clear" w:color="auto" w:fill="FFFFFF"/>
        </w:rPr>
        <w:t xml:space="preserve"> dried at 60 °C for at least 12 hours to achieve constant weight, then cooled down to room temperature in a sealed desiccator. The Eppendorf tube or conical tube was weighed a second time (</w:t>
      </w:r>
      <w:r w:rsidRPr="008F4B40">
        <w:rPr>
          <w:rFonts w:ascii="Palatino Linotype" w:hAnsi="Palatino Linotype" w:cs="Times New Roman"/>
          <w:b/>
          <w:sz w:val="20"/>
          <w:szCs w:val="20"/>
          <w:shd w:val="clear" w:color="auto" w:fill="FFFFFF"/>
        </w:rPr>
        <w:t>W</w:t>
      </w:r>
      <w:r w:rsidRPr="008F4B40">
        <w:rPr>
          <w:rFonts w:ascii="Palatino Linotype" w:hAnsi="Palatino Linotype" w:cs="Times New Roman"/>
          <w:b/>
          <w:sz w:val="20"/>
          <w:szCs w:val="20"/>
          <w:shd w:val="clear" w:color="auto" w:fill="FFFFFF"/>
          <w:vertAlign w:val="subscript"/>
        </w:rPr>
        <w:t>2</w:t>
      </w:r>
      <w:r w:rsidRPr="008F4B40">
        <w:rPr>
          <w:rFonts w:ascii="Palatino Linotype" w:hAnsi="Palatino Linotype" w:cs="Times New Roman"/>
          <w:b/>
          <w:sz w:val="20"/>
          <w:szCs w:val="20"/>
          <w:shd w:val="clear" w:color="auto" w:fill="FFFFFF"/>
        </w:rPr>
        <w:t xml:space="preserve"> g</w:t>
      </w:r>
      <w:r w:rsidRPr="008F4B40">
        <w:rPr>
          <w:rFonts w:ascii="Palatino Linotype" w:hAnsi="Palatino Linotype" w:cs="Times New Roman"/>
          <w:sz w:val="20"/>
          <w:szCs w:val="20"/>
          <w:shd w:val="clear" w:color="auto" w:fill="FFFFFF"/>
        </w:rPr>
        <w:t xml:space="preserve">). Therefore, the cell concentration in the culture broth can be obtained using the equation below. Measurements were made in duplicate. </w:t>
      </w:r>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8802B1" w:rsidP="008802B1">
            <w:pPr>
              <w:autoSpaceDE w:val="0"/>
              <w:autoSpaceDN w:val="0"/>
              <w:adjustRightInd w:val="0"/>
              <w:spacing w:after="0" w:line="240" w:lineRule="auto"/>
              <w:jc w:val="both"/>
              <w:rPr>
                <w:rFonts w:ascii="Palatino Linotype" w:hAnsi="Palatino Linotype" w:cs="Times New Roman"/>
                <w:i/>
                <w:sz w:val="20"/>
                <w:szCs w:val="20"/>
                <w:shd w:val="clear" w:color="auto" w:fill="FFFFFF"/>
              </w:rPr>
            </w:pPr>
            <w:bookmarkStart w:id="13" w:name="_Hlk500278509"/>
            <m:oMathPara>
              <m:oMath>
                <m:r>
                  <m:rPr>
                    <m:nor/>
                  </m:rPr>
                  <w:rPr>
                    <w:rFonts w:ascii="Palatino Linotype" w:hAnsi="Palatino Linotype" w:cs="Times New Roman"/>
                    <w:sz w:val="20"/>
                    <w:szCs w:val="20"/>
                    <w:shd w:val="clear" w:color="auto" w:fill="FFFFFF"/>
                  </w:rPr>
                  <m:t>Cell concentration</m:t>
                </m:r>
                <m:r>
                  <w:rPr>
                    <w:rFonts w:ascii="Cambria Math" w:hAnsi="Cambria Math" w:cs="Times New Roman"/>
                    <w:sz w:val="20"/>
                    <w:szCs w:val="20"/>
                    <w:shd w:val="clear" w:color="auto" w:fill="FFFFFF"/>
                  </w:rPr>
                  <m:t>=</m:t>
                </m:r>
                <m:f>
                  <m:fPr>
                    <m:ctrlPr>
                      <w:rPr>
                        <w:rFonts w:ascii="Cambria Math" w:hAnsi="Cambria Math" w:cs="Times New Roman"/>
                        <w:sz w:val="20"/>
                        <w:szCs w:val="20"/>
                        <w:shd w:val="clear" w:color="auto" w:fill="FFFFFF"/>
                      </w:rPr>
                    </m:ctrlPr>
                  </m:fPr>
                  <m:num>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(W</m:t>
                        </m:r>
                      </m:e>
                      <m:sub>
                        <m:r>
                          <w:rPr>
                            <w:rFonts w:ascii="Cambria Math" w:hAnsi="Cambria Math" w:cs="Times New Roman"/>
                            <w:sz w:val="20"/>
                            <w:szCs w:val="20"/>
                            <w:shd w:val="clear" w:color="auto" w:fill="FFFFFF"/>
                          </w:rPr>
                          <m:t>2</m:t>
                        </m:r>
                      </m:sub>
                    </m:sSub>
                    <m:r>
                      <w:rPr>
                        <w:rFonts w:ascii="Cambria Math" w:hAnsi="Cambria Math" w:cs="Times New Roman"/>
                        <w:sz w:val="20"/>
                        <w:szCs w:val="20"/>
                        <w:shd w:val="clear" w:color="auto" w:fill="FFFFFF"/>
                      </w:rPr>
                      <m:t>-</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W</m:t>
                        </m:r>
                      </m:e>
                      <m:sub>
                        <m:r>
                          <w:rPr>
                            <w:rFonts w:ascii="Cambria Math" w:hAnsi="Cambria Math" w:cs="Times New Roman"/>
                            <w:sz w:val="20"/>
                            <w:szCs w:val="20"/>
                            <w:shd w:val="clear" w:color="auto" w:fill="FFFFFF"/>
                          </w:rPr>
                          <m:t>1</m:t>
                        </m:r>
                      </m:sub>
                    </m:sSub>
                    <m:r>
                      <w:rPr>
                        <w:rFonts w:ascii="Cambria Math" w:hAnsi="Cambria Math" w:cs="Times New Roman"/>
                        <w:sz w:val="20"/>
                        <w:szCs w:val="20"/>
                        <w:shd w:val="clear" w:color="auto" w:fill="FFFFFF"/>
                      </w:rPr>
                      <m:t>) g</m:t>
                    </m:r>
                  </m:num>
                  <m:den>
                    <m:r>
                      <w:rPr>
                        <w:rFonts w:ascii="Cambria Math" w:hAnsi="Cambria Math" w:cs="Times New Roman"/>
                        <w:sz w:val="20"/>
                        <w:szCs w:val="20"/>
                        <w:shd w:val="clear" w:color="auto" w:fill="FFFFFF"/>
                      </w:rPr>
                      <m:t>V L</m:t>
                    </m:r>
                  </m:den>
                </m:f>
              </m:oMath>
            </m:oMathPara>
          </w:p>
        </w:tc>
        <w:tc>
          <w:tcPr>
            <w:tcW w:w="819" w:type="pct"/>
            <w:vAlign w:val="center"/>
          </w:tcPr>
          <w:p w:rsidR="008802B1" w:rsidRPr="008F4B40" w:rsidRDefault="000C1C45"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1</w:t>
            </w:r>
          </w:p>
        </w:tc>
      </w:tr>
    </w:tbl>
    <w:p w:rsidR="008802B1" w:rsidRPr="008F4B40" w:rsidRDefault="008802B1" w:rsidP="008802B1">
      <w:pPr>
        <w:pStyle w:val="4"/>
        <w:spacing w:before="0"/>
        <w:rPr>
          <w:rFonts w:ascii="Palatino Linotype" w:hAnsi="Palatino Linotype" w:cs="Times New Roman"/>
          <w:color w:val="auto"/>
          <w:sz w:val="20"/>
          <w:szCs w:val="20"/>
          <w:shd w:val="clear" w:color="auto" w:fill="FFFFFF"/>
        </w:rPr>
      </w:pPr>
      <w:bookmarkStart w:id="14" w:name="_Optical_density_method"/>
      <w:bookmarkEnd w:id="13"/>
      <w:bookmarkEnd w:id="14"/>
      <w:r w:rsidRPr="008F4B40">
        <w:rPr>
          <w:rFonts w:ascii="Palatino Linotype" w:hAnsi="Palatino Linotype" w:cs="Times New Roman"/>
          <w:color w:val="auto"/>
          <w:sz w:val="20"/>
          <w:szCs w:val="20"/>
          <w:shd w:val="clear" w:color="auto" w:fill="FFFFFF"/>
        </w:rPr>
        <w:t>Optical density method</w:t>
      </w:r>
    </w:p>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 xml:space="preserve">The same cell suspension was also measured for its optical density (O.D., also known as turbidity) at 600 nm on a Shimadzu® UV-mini 1240 spectrophotometer. O.D. is a measure of the light scattered by the bacterial suspension, which is proportional to the cell concentration. </w:t>
      </w:r>
      <w:r w:rsidRPr="008F4B40">
        <w:rPr>
          <w:rFonts w:ascii="Palatino Linotype" w:hAnsi="Palatino Linotype" w:cs="Times New Roman"/>
          <w:noProof/>
          <w:sz w:val="20"/>
          <w:szCs w:val="20"/>
        </w:rPr>
        <w:t>However,</w:t>
      </w:r>
      <w:r w:rsidRPr="008F4B40">
        <w:rPr>
          <w:rFonts w:ascii="Palatino Linotype" w:hAnsi="Palatino Linotype" w:cs="Times New Roman"/>
          <w:sz w:val="20"/>
          <w:szCs w:val="20"/>
        </w:rPr>
        <w:t xml:space="preserve"> at higher cell concentration the diffraction effect of cells can cause significant underestimation of O.D. So every sample cell suspension was first diluted </w:t>
      </w:r>
      <w:r w:rsidRPr="008F4B40">
        <w:rPr>
          <w:rFonts w:ascii="Palatino Linotype" w:hAnsi="Palatino Linotype" w:cs="Times New Roman"/>
          <w:noProof/>
          <w:sz w:val="20"/>
          <w:szCs w:val="20"/>
        </w:rPr>
        <w:t>with</w:t>
      </w:r>
      <w:r w:rsidRPr="008F4B40">
        <w:rPr>
          <w:rFonts w:ascii="Palatino Linotype" w:hAnsi="Palatino Linotype" w:cs="Times New Roman"/>
          <w:sz w:val="20"/>
          <w:szCs w:val="20"/>
        </w:rPr>
        <w:t xml:space="preserve"> distilled water to ensure its O.D. reading was less than 0.6. The O.D of the diluted culture was then multiplied by the dilution factor </w:t>
      </w:r>
      <w:r w:rsidRPr="008F4B40">
        <w:rPr>
          <w:rFonts w:ascii="Palatino Linotype" w:hAnsi="Palatino Linotype" w:cs="Times New Roman"/>
          <w:b/>
          <w:sz w:val="20"/>
          <w:szCs w:val="20"/>
        </w:rPr>
        <w:t xml:space="preserve">D </w:t>
      </w:r>
      <w:r w:rsidRPr="008F4B40">
        <w:rPr>
          <w:rFonts w:ascii="Palatino Linotype" w:hAnsi="Palatino Linotype" w:cs="Times New Roman"/>
          <w:sz w:val="20"/>
          <w:szCs w:val="20"/>
        </w:rPr>
        <w:t xml:space="preserve">to obtain </w:t>
      </w:r>
      <w:bookmarkStart w:id="15" w:name="OLE_LINK30"/>
      <w:bookmarkStart w:id="16" w:name="OLE_LINK38"/>
      <w:r w:rsidRPr="008F4B40">
        <w:rPr>
          <w:rFonts w:ascii="Palatino Linotype" w:hAnsi="Palatino Linotype" w:cs="Times New Roman"/>
          <w:sz w:val="20"/>
          <w:szCs w:val="20"/>
        </w:rPr>
        <w:t xml:space="preserve">the actual value. </w:t>
      </w:r>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8802B1" w:rsidP="008802B1">
            <w:pPr>
              <w:autoSpaceDE w:val="0"/>
              <w:autoSpaceDN w:val="0"/>
              <w:adjustRightInd w:val="0"/>
              <w:spacing w:after="0" w:line="240" w:lineRule="auto"/>
              <w:jc w:val="both"/>
              <w:rPr>
                <w:rFonts w:ascii="Palatino Linotype" w:hAnsi="Palatino Linotype" w:cs="Times New Roman"/>
                <w:i/>
                <w:sz w:val="20"/>
                <w:szCs w:val="20"/>
                <w:shd w:val="clear" w:color="auto" w:fill="FFFFFF"/>
              </w:rPr>
            </w:pPr>
            <m:oMathPara>
              <m:oMath>
                <m:r>
                  <m:rPr>
                    <m:nor/>
                  </m:rPr>
                  <w:rPr>
                    <w:rFonts w:ascii="Palatino Linotype" w:hAnsi="Palatino Linotype" w:cs="Times New Roman"/>
                    <w:sz w:val="20"/>
                    <w:szCs w:val="20"/>
                    <w:shd w:val="clear" w:color="auto" w:fill="FFFFFF"/>
                  </w:rPr>
                  <m:t>O.D. (actual)</m:t>
                </m:r>
                <m:r>
                  <w:rPr>
                    <w:rFonts w:ascii="Cambria Math" w:hAnsi="Cambria Math" w:cs="Times New Roman"/>
                    <w:sz w:val="20"/>
                    <w:szCs w:val="20"/>
                    <w:shd w:val="clear" w:color="auto" w:fill="FFFFFF"/>
                  </w:rPr>
                  <m:t>=</m:t>
                </m:r>
                <m:r>
                  <m:rPr>
                    <m:nor/>
                  </m:rPr>
                  <w:rPr>
                    <w:rFonts w:ascii="Palatino Linotype" w:hAnsi="Palatino Linotype" w:cs="Times New Roman"/>
                    <w:sz w:val="20"/>
                    <w:szCs w:val="20"/>
                    <w:shd w:val="clear" w:color="auto" w:fill="FFFFFF"/>
                  </w:rPr>
                  <m:t>O.D. (diluted)</m:t>
                </m:r>
                <m:r>
                  <w:rPr>
                    <w:rFonts w:ascii="Cambria Math" w:hAnsi="Cambria Math" w:cs="Times New Roman"/>
                    <w:sz w:val="20"/>
                    <w:szCs w:val="20"/>
                    <w:shd w:val="clear" w:color="auto" w:fill="FFFFFF"/>
                  </w:rPr>
                  <m:t>×</m:t>
                </m:r>
                <m:r>
                  <m:rPr>
                    <m:nor/>
                  </m:rPr>
                  <w:rPr>
                    <w:rFonts w:ascii="Palatino Linotype" w:hAnsi="Palatino Linotype" w:cs="Times New Roman"/>
                    <w:sz w:val="20"/>
                    <w:szCs w:val="20"/>
                    <w:shd w:val="clear" w:color="auto" w:fill="FFFFFF"/>
                  </w:rPr>
                  <m:t>D</m:t>
                </m:r>
              </m:oMath>
            </m:oMathPara>
          </w:p>
        </w:tc>
        <w:tc>
          <w:tcPr>
            <w:tcW w:w="819" w:type="pct"/>
            <w:vAlign w:val="center"/>
          </w:tcPr>
          <w:p w:rsidR="008802B1" w:rsidRPr="008F4B40" w:rsidRDefault="000C1C45"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2</w:t>
            </w:r>
          </w:p>
        </w:tc>
      </w:tr>
    </w:tbl>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For example, if a culture broth is diluted 10 times, resulting in a final O.D. of 0.5, then the actual O.D. of the culture broth to be recorded should be 5.5.</w:t>
      </w:r>
    </w:p>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 xml:space="preserve">O.D measurements are more precise and less noisy than gravimetrical measurements. To allow the estimation of TDW from O.D. measurements, a </w:t>
      </w:r>
      <w:r w:rsidRPr="008F4B40">
        <w:rPr>
          <w:rFonts w:ascii="Palatino Linotype" w:hAnsi="Palatino Linotype" w:cs="Times New Roman"/>
          <w:noProof/>
          <w:sz w:val="20"/>
          <w:szCs w:val="20"/>
        </w:rPr>
        <w:t>calibration</w:t>
      </w:r>
      <w:r w:rsidRPr="008F4B40">
        <w:rPr>
          <w:rFonts w:ascii="Palatino Linotype" w:hAnsi="Palatino Linotype" w:cs="Times New Roman"/>
          <w:sz w:val="20"/>
          <w:szCs w:val="20"/>
        </w:rPr>
        <w:t xml:space="preserve"> curve was constructed using both the samples’ TDW values (which are determined gravimetrically) and the actual O.D. values.  </w:t>
      </w:r>
    </w:p>
    <w:p w:rsidR="008802B1" w:rsidRPr="008F4B40" w:rsidRDefault="008802B1" w:rsidP="008802B1">
      <w:pPr>
        <w:keepNext/>
        <w:spacing w:after="0" w:line="240" w:lineRule="auto"/>
        <w:jc w:val="center"/>
        <w:rPr>
          <w:rFonts w:ascii="Palatino Linotype" w:hAnsi="Palatino Linotype" w:cs="Times New Roman"/>
          <w:sz w:val="20"/>
          <w:szCs w:val="20"/>
        </w:rPr>
      </w:pPr>
      <w:r w:rsidRPr="008F4B40">
        <w:rPr>
          <w:rFonts w:ascii="Palatino Linotype" w:hAnsi="Palatino Linotype" w:cs="Times New Roman"/>
          <w:noProof/>
          <w:sz w:val="20"/>
          <w:szCs w:val="20"/>
        </w:rPr>
        <w:lastRenderedPageBreak/>
        <w:drawing>
          <wp:inline distT="0" distB="0" distL="0" distR="0" wp14:anchorId="05FD9D97" wp14:editId="6D936353">
            <wp:extent cx="5581650" cy="2543175"/>
            <wp:effectExtent l="0" t="0" r="19050" b="952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802B1" w:rsidRPr="008F4B40" w:rsidRDefault="008802B1" w:rsidP="008802B1">
      <w:pPr>
        <w:pStyle w:val="af"/>
        <w:spacing w:after="0"/>
        <w:jc w:val="center"/>
        <w:rPr>
          <w:rFonts w:ascii="Palatino Linotype" w:hAnsi="Palatino Linotype" w:cs="Times New Roman"/>
          <w:b w:val="0"/>
          <w:i/>
          <w:color w:val="auto"/>
          <w:sz w:val="20"/>
          <w:szCs w:val="20"/>
        </w:rPr>
      </w:pPr>
      <w:bookmarkStart w:id="17" w:name="_Toc500722195"/>
      <w:r w:rsidRPr="008F4B40">
        <w:rPr>
          <w:rFonts w:ascii="Palatino Linotype" w:hAnsi="Palatino Linotype" w:cs="Times New Roman"/>
          <w:b w:val="0"/>
          <w:color w:val="auto"/>
          <w:sz w:val="20"/>
          <w:szCs w:val="20"/>
        </w:rPr>
        <w:t xml:space="preserve">Figure </w:t>
      </w:r>
      <w:r w:rsidRPr="008F4B40">
        <w:rPr>
          <w:rFonts w:ascii="Palatino Linotype" w:hAnsi="Palatino Linotype" w:cs="Times New Roman"/>
          <w:b w:val="0"/>
          <w:i/>
          <w:color w:val="auto"/>
          <w:sz w:val="20"/>
          <w:szCs w:val="20"/>
        </w:rPr>
        <w:fldChar w:fldCharType="begin"/>
      </w:r>
      <w:r w:rsidRPr="008F4B40">
        <w:rPr>
          <w:rFonts w:ascii="Palatino Linotype" w:hAnsi="Palatino Linotype" w:cs="Times New Roman"/>
          <w:b w:val="0"/>
          <w:color w:val="auto"/>
          <w:sz w:val="20"/>
          <w:szCs w:val="20"/>
        </w:rPr>
        <w:instrText xml:space="preserve"> SEQ Figure \* ARABIC \s 1 </w:instrText>
      </w:r>
      <w:r w:rsidRPr="008F4B40">
        <w:rPr>
          <w:rFonts w:ascii="Palatino Linotype" w:hAnsi="Palatino Linotype" w:cs="Times New Roman"/>
          <w:b w:val="0"/>
          <w:i/>
          <w:color w:val="auto"/>
          <w:sz w:val="20"/>
          <w:szCs w:val="20"/>
        </w:rPr>
        <w:fldChar w:fldCharType="separate"/>
      </w:r>
      <w:r w:rsidRPr="008F4B40">
        <w:rPr>
          <w:rFonts w:ascii="Palatino Linotype" w:hAnsi="Palatino Linotype" w:cs="Times New Roman"/>
          <w:b w:val="0"/>
          <w:noProof/>
          <w:color w:val="auto"/>
          <w:sz w:val="20"/>
          <w:szCs w:val="20"/>
        </w:rPr>
        <w:t>1</w:t>
      </w:r>
      <w:r w:rsidRPr="008F4B40">
        <w:rPr>
          <w:rFonts w:ascii="Palatino Linotype" w:hAnsi="Palatino Linotype" w:cs="Times New Roman"/>
          <w:b w:val="0"/>
          <w:i/>
          <w:color w:val="auto"/>
          <w:sz w:val="20"/>
          <w:szCs w:val="20"/>
        </w:rPr>
        <w:fldChar w:fldCharType="end"/>
      </w:r>
      <w:r w:rsidRPr="008F4B40">
        <w:rPr>
          <w:rFonts w:ascii="Palatino Linotype" w:hAnsi="Palatino Linotype" w:cs="Times New Roman"/>
          <w:b w:val="0"/>
          <w:color w:val="auto"/>
          <w:sz w:val="20"/>
          <w:szCs w:val="20"/>
        </w:rPr>
        <w:t xml:space="preserve"> – TDW-O.D. correlation developed based on the 105 data points from 10 experiments. The calibration curve can be divided into Section One and </w:t>
      </w:r>
      <w:bookmarkStart w:id="18" w:name="OLE_LINK128"/>
      <w:bookmarkStart w:id="19" w:name="OLE_LINK129"/>
      <w:r w:rsidRPr="008F4B40">
        <w:rPr>
          <w:rFonts w:ascii="Palatino Linotype" w:hAnsi="Palatino Linotype" w:cs="Times New Roman"/>
          <w:b w:val="0"/>
          <w:color w:val="auto"/>
          <w:sz w:val="20"/>
          <w:szCs w:val="20"/>
        </w:rPr>
        <w:t xml:space="preserve">Section </w:t>
      </w:r>
      <w:bookmarkEnd w:id="18"/>
      <w:bookmarkEnd w:id="19"/>
      <w:r w:rsidRPr="008F4B40">
        <w:rPr>
          <w:rFonts w:ascii="Palatino Linotype" w:hAnsi="Palatino Linotype" w:cs="Times New Roman"/>
          <w:b w:val="0"/>
          <w:color w:val="auto"/>
          <w:sz w:val="20"/>
          <w:szCs w:val="20"/>
        </w:rPr>
        <w:t>Two, in which the data points were represented by hollow circles and solid circles respectively.</w:t>
      </w:r>
      <w:bookmarkEnd w:id="17"/>
    </w:p>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 xml:space="preserve">It appears that the calibration data can be further divided into two sections, each fitted with a specific trendline. Data obtained when TDW was smaller than 3 g/l can be sorted into </w:t>
      </w:r>
      <w:bookmarkStart w:id="20" w:name="OLE_LINK41"/>
      <w:bookmarkStart w:id="21" w:name="OLE_LINK44"/>
      <w:r w:rsidRPr="008F4B40">
        <w:rPr>
          <w:rFonts w:ascii="Palatino Linotype" w:hAnsi="Palatino Linotype" w:cs="Times New Roman"/>
          <w:sz w:val="20"/>
          <w:szCs w:val="20"/>
        </w:rPr>
        <w:t>Section One</w:t>
      </w:r>
      <w:bookmarkEnd w:id="20"/>
      <w:bookmarkEnd w:id="21"/>
      <w:r w:rsidRPr="008F4B40">
        <w:rPr>
          <w:rFonts w:ascii="Palatino Linotype" w:hAnsi="Palatino Linotype" w:cs="Times New Roman"/>
          <w:sz w:val="20"/>
          <w:szCs w:val="20"/>
        </w:rPr>
        <w:t xml:space="preserve"> and fitted wi</w:t>
      </w:r>
      <w:r w:rsidR="000C1C45" w:rsidRPr="008F4B40">
        <w:rPr>
          <w:rFonts w:ascii="Palatino Linotype" w:hAnsi="Palatino Linotype" w:cs="Times New Roman"/>
          <w:sz w:val="20"/>
          <w:szCs w:val="20"/>
        </w:rPr>
        <w:t>th a quadratic correlation (Eq.</w:t>
      </w:r>
      <w:r w:rsidRPr="008F4B40">
        <w:rPr>
          <w:rFonts w:ascii="Palatino Linotype" w:hAnsi="Palatino Linotype" w:cs="Times New Roman"/>
          <w:sz w:val="20"/>
          <w:szCs w:val="20"/>
        </w:rPr>
        <w:t>3). The remaining data can be sorted into Section Two and fitted</w:t>
      </w:r>
      <w:r w:rsidR="000C1C45" w:rsidRPr="008F4B40">
        <w:rPr>
          <w:rFonts w:ascii="Palatino Linotype" w:hAnsi="Palatino Linotype" w:cs="Times New Roman"/>
          <w:sz w:val="20"/>
          <w:szCs w:val="20"/>
        </w:rPr>
        <w:t xml:space="preserve"> with a linear correlation (Eq.</w:t>
      </w:r>
      <w:r w:rsidRPr="008F4B40">
        <w:rPr>
          <w:rFonts w:ascii="Palatino Linotype" w:hAnsi="Palatino Linotype" w:cs="Times New Roman"/>
          <w:sz w:val="20"/>
          <w:szCs w:val="20"/>
        </w:rPr>
        <w:t xml:space="preserve">4). </w:t>
      </w:r>
    </w:p>
    <w:tbl>
      <w:tblPr>
        <w:tblW w:w="0" w:type="auto"/>
        <w:jc w:val="center"/>
        <w:tblLook w:val="04A0" w:firstRow="1" w:lastRow="0" w:firstColumn="1" w:lastColumn="0" w:noHBand="0" w:noVBand="1"/>
      </w:tblPr>
      <w:tblGrid>
        <w:gridCol w:w="2427"/>
        <w:gridCol w:w="3622"/>
        <w:gridCol w:w="601"/>
      </w:tblGrid>
      <w:tr w:rsidR="008802B1" w:rsidRPr="008F4B40" w:rsidTr="008802B1">
        <w:trPr>
          <w:jc w:val="center"/>
        </w:trPr>
        <w:tc>
          <w:tcPr>
            <w:tcW w:w="0" w:type="auto"/>
          </w:tcPr>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Phase One (TDW &lt; 3 g/l)</w:t>
            </w:r>
          </w:p>
        </w:tc>
        <w:tc>
          <w:tcPr>
            <w:tcW w:w="0" w:type="auto"/>
          </w:tcPr>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TDW= -5.62E-03×O.D.</w:t>
            </w:r>
            <w:r w:rsidRPr="008F4B40">
              <w:rPr>
                <w:rFonts w:ascii="Palatino Linotype" w:hAnsi="Palatino Linotype" w:cs="Times New Roman"/>
                <w:sz w:val="20"/>
                <w:szCs w:val="20"/>
                <w:vertAlign w:val="superscript"/>
              </w:rPr>
              <w:t>2</w:t>
            </w:r>
            <w:r w:rsidRPr="008F4B40">
              <w:rPr>
                <w:rFonts w:ascii="Palatino Linotype" w:hAnsi="Palatino Linotype" w:cs="Times New Roman"/>
                <w:sz w:val="20"/>
                <w:szCs w:val="20"/>
              </w:rPr>
              <w:t xml:space="preserve"> + 3.27E-01×O.D</w:t>
            </w:r>
            <w:r w:rsidRPr="008F4B40">
              <w:rPr>
                <w:rFonts w:ascii="Palatino Linotype" w:hAnsi="Palatino Linotype" w:cs="Times New Roman"/>
                <w:sz w:val="20"/>
                <w:szCs w:val="20"/>
              </w:rPr>
              <w:br/>
              <w:t>R² = 0.967</w:t>
            </w:r>
          </w:p>
        </w:tc>
        <w:tc>
          <w:tcPr>
            <w:tcW w:w="0" w:type="auto"/>
          </w:tcPr>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Eq.3</w:t>
            </w:r>
          </w:p>
        </w:tc>
      </w:tr>
      <w:tr w:rsidR="008802B1" w:rsidRPr="008F4B40" w:rsidTr="008802B1">
        <w:trPr>
          <w:jc w:val="center"/>
        </w:trPr>
        <w:tc>
          <w:tcPr>
            <w:tcW w:w="0" w:type="auto"/>
          </w:tcPr>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Phase Two (TDW &gt; 3 g/l)</w:t>
            </w:r>
          </w:p>
        </w:tc>
        <w:tc>
          <w:tcPr>
            <w:tcW w:w="0" w:type="auto"/>
          </w:tcPr>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TDW = 0.1722x + 1.0583</w:t>
            </w:r>
            <w:r w:rsidRPr="008F4B40">
              <w:rPr>
                <w:rFonts w:ascii="Palatino Linotype" w:hAnsi="Palatino Linotype" w:cs="Times New Roman"/>
                <w:sz w:val="20"/>
                <w:szCs w:val="20"/>
              </w:rPr>
              <w:br/>
              <w:t>R² = 0.9431</w:t>
            </w:r>
          </w:p>
        </w:tc>
        <w:tc>
          <w:tcPr>
            <w:tcW w:w="0" w:type="auto"/>
          </w:tcPr>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Eq.4</w:t>
            </w:r>
          </w:p>
        </w:tc>
      </w:tr>
    </w:tbl>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 xml:space="preserve">The two phases </w:t>
      </w:r>
      <w:r w:rsidRPr="008F4B40">
        <w:rPr>
          <w:rFonts w:ascii="Palatino Linotype" w:hAnsi="Palatino Linotype" w:cs="Times New Roman"/>
          <w:noProof/>
          <w:sz w:val="20"/>
          <w:szCs w:val="20"/>
        </w:rPr>
        <w:t>of</w:t>
      </w:r>
      <w:r w:rsidRPr="008F4B40">
        <w:rPr>
          <w:rFonts w:ascii="Palatino Linotype" w:hAnsi="Palatino Linotype" w:cs="Times New Roman"/>
          <w:sz w:val="20"/>
          <w:szCs w:val="20"/>
        </w:rPr>
        <w:t xml:space="preserve"> the calibration curve can roughly reflect the biomass growth and PHB production phase during fermentation. In the growth phase (Phase One), the increase in TDW is contributed by both synthesis of active biomass and PHB, of which the latter gradually becomes dominating. This can cause variation in the cell morphology (e.g size and shape) as well as optical properties (e.g light absorbance). Therefore, the O.D-TDW correlation appears to be non-linear in Phase One. In contrast, the linearity observed in Section Two is likely due to PHB synthesis being the sole contributor to the increase of TDW. </w:t>
      </w:r>
      <w:bookmarkEnd w:id="15"/>
      <w:bookmarkEnd w:id="16"/>
    </w:p>
    <w:p w:rsidR="008802B1" w:rsidRPr="008F4B40" w:rsidRDefault="008802B1" w:rsidP="00F315E9">
      <w:pPr>
        <w:pStyle w:val="3"/>
        <w:numPr>
          <w:ilvl w:val="1"/>
          <w:numId w:val="33"/>
        </w:numPr>
        <w:spacing w:before="0"/>
        <w:rPr>
          <w:rFonts w:ascii="Palatino Linotype" w:hAnsi="Palatino Linotype" w:cs="Times New Roman"/>
          <w:color w:val="auto"/>
          <w:sz w:val="20"/>
          <w:szCs w:val="20"/>
        </w:rPr>
      </w:pPr>
      <w:bookmarkStart w:id="22" w:name="_Toc38967964"/>
      <w:r w:rsidRPr="008F4B40">
        <w:rPr>
          <w:rFonts w:ascii="Palatino Linotype" w:hAnsi="Palatino Linotype" w:cs="Times New Roman"/>
          <w:color w:val="auto"/>
          <w:sz w:val="20"/>
          <w:szCs w:val="20"/>
        </w:rPr>
        <w:t>PHB determination</w:t>
      </w:r>
      <w:bookmarkEnd w:id="22"/>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shd w:val="clear" w:color="auto" w:fill="FFFFFF"/>
        </w:rPr>
        <w:t xml:space="preserve">To analyse intracellular PHB content, the hydrochloric acid propanolysis method proposed by </w:t>
      </w:r>
      <w:bookmarkStart w:id="23" w:name="OLE_LINK53"/>
      <w:bookmarkStart w:id="24" w:name="OLE_LINK54"/>
      <w:r w:rsidRPr="008F4B40">
        <w:rPr>
          <w:rFonts w:ascii="Palatino Linotype" w:hAnsi="Palatino Linotype" w:cs="Times New Roman"/>
          <w:sz w:val="20"/>
          <w:szCs w:val="20"/>
          <w:shd w:val="clear" w:color="auto" w:fill="FFFFFF"/>
        </w:rPr>
        <w:t>Riis</w:t>
      </w:r>
      <w:bookmarkEnd w:id="23"/>
      <w:bookmarkEnd w:id="24"/>
      <w:r w:rsidRPr="008F4B40">
        <w:rPr>
          <w:rFonts w:ascii="Palatino Linotype" w:hAnsi="Palatino Linotype" w:cs="Times New Roman"/>
          <w:sz w:val="20"/>
          <w:szCs w:val="20"/>
          <w:shd w:val="clear" w:color="auto" w:fill="FFFFFF"/>
        </w:rPr>
        <w:t xml:space="preserve"> and Mai (1988) </w:t>
      </w:r>
      <w:r w:rsidRPr="008F4B40">
        <w:rPr>
          <w:rFonts w:ascii="Palatino Linotype" w:hAnsi="Palatino Linotype" w:cs="Times New Roman"/>
          <w:i/>
          <w:sz w:val="20"/>
          <w:szCs w:val="20"/>
          <w:shd w:val="clear" w:color="auto" w:fill="FFFFFF"/>
        </w:rPr>
        <w:fldChar w:fldCharType="begin" w:fldLock="1"/>
      </w:r>
      <w:r w:rsidR="00AC7961" w:rsidRPr="008F4B40">
        <w:rPr>
          <w:rFonts w:ascii="Palatino Linotype" w:hAnsi="Palatino Linotype" w:cs="Times New Roman"/>
          <w:sz w:val="20"/>
          <w:szCs w:val="20"/>
          <w:shd w:val="clear" w:color="auto" w:fill="FFFFFF"/>
        </w:rPr>
        <w:instrText>ADDIN CSL_CITATION {"citationItems":[{"id":"ITEM-1","itemData":{"ISBN":"0021967318","author":[{"dropping-particle":"","family":"Riis","given":"V","non-dropping-particle":"","parse-names":false,"suffix":""},{"dropping-particle":"","family":"Mai","given":"W","non-dropping-particle":"","parse-names":false,"suffix":""}],"container-title":"Journal of Chromatography","id":"ITEM-1","issued":{"date-parts":[["1988"]]},"page":"285-289","title":"Gas chromatographic determination microbial biomass after hydrochloric of poly-beta-hydroxybutyric acid propanolysis","type":"article-journal","volume":"445"},"uris":["http://www.mendeley.com/documents/?uuid=4a47816a-cf93-44bc-a24d-ecc71f6fa1a1"]}],"mendeley":{"formattedCitation":"[1]","plainTextFormattedCitation":"[1]","previouslyFormattedCitation":"[1]"},"properties":{"noteIndex":0},"schema":"https://github.com/citation-style-language/schema/raw/master/csl-citation.json"}</w:instrText>
      </w:r>
      <w:r w:rsidRPr="008F4B40">
        <w:rPr>
          <w:rFonts w:ascii="Palatino Linotype" w:hAnsi="Palatino Linotype" w:cs="Times New Roman"/>
          <w:i/>
          <w:sz w:val="20"/>
          <w:szCs w:val="20"/>
          <w:shd w:val="clear" w:color="auto" w:fill="FFFFFF"/>
        </w:rPr>
        <w:fldChar w:fldCharType="separate"/>
      </w:r>
      <w:r w:rsidRPr="008F4B40">
        <w:rPr>
          <w:rFonts w:ascii="Palatino Linotype" w:hAnsi="Palatino Linotype" w:cs="Times New Roman"/>
          <w:noProof/>
          <w:sz w:val="20"/>
          <w:szCs w:val="20"/>
          <w:shd w:val="clear" w:color="auto" w:fill="FFFFFF"/>
        </w:rPr>
        <w:t>[1]</w:t>
      </w:r>
      <w:r w:rsidRPr="008F4B40">
        <w:rPr>
          <w:rFonts w:ascii="Palatino Linotype" w:hAnsi="Palatino Linotype" w:cs="Times New Roman"/>
          <w:i/>
          <w:sz w:val="20"/>
          <w:szCs w:val="20"/>
          <w:shd w:val="clear" w:color="auto" w:fill="FFFFFF"/>
        </w:rPr>
        <w:fldChar w:fldCharType="end"/>
      </w:r>
      <w:r w:rsidRPr="008F4B40">
        <w:rPr>
          <w:rFonts w:ascii="Palatino Linotype" w:hAnsi="Palatino Linotype" w:cs="Times New Roman"/>
          <w:sz w:val="20"/>
          <w:szCs w:val="20"/>
          <w:shd w:val="clear" w:color="auto" w:fill="FFFFFF"/>
        </w:rPr>
        <w:t xml:space="preserve"> was used. </w:t>
      </w:r>
      <w:r w:rsidRPr="008F4B40">
        <w:rPr>
          <w:rFonts w:ascii="Palatino Linotype" w:hAnsi="Palatino Linotype" w:cs="Times New Roman"/>
          <w:sz w:val="20"/>
          <w:szCs w:val="20"/>
        </w:rPr>
        <w:t>In this method, PHB is hydrolysed into beta-hydroxybutyric acid (HB) monomers by HCl, and consequently</w:t>
      </w:r>
      <w:r w:rsidRPr="008F4B40">
        <w:rPr>
          <w:rFonts w:ascii="Palatino Linotype" w:hAnsi="Palatino Linotype" w:cs="Times New Roman"/>
          <w:noProof/>
          <w:sz w:val="20"/>
          <w:szCs w:val="20"/>
        </w:rPr>
        <w:t>,</w:t>
      </w:r>
      <w:r w:rsidRPr="008F4B40">
        <w:rPr>
          <w:rFonts w:ascii="Palatino Linotype" w:hAnsi="Palatino Linotype" w:cs="Times New Roman"/>
          <w:sz w:val="20"/>
          <w:szCs w:val="20"/>
        </w:rPr>
        <w:t xml:space="preserve"> transesterified by propanol to propyl ester. Propyl ester can then be separated in a gas chromatography column by using 1,2-dichloroethane (DCE) as a solvent.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lastRenderedPageBreak/>
        <w:t xml:space="preserve">A known quantity of dry cells was transferred into a universal bottle, to which 2 ml of </w:t>
      </w:r>
      <w:r w:rsidRPr="008F4B40">
        <w:rPr>
          <w:rFonts w:ascii="Palatino Linotype" w:hAnsi="Palatino Linotype" w:cs="Times New Roman"/>
          <w:noProof/>
          <w:sz w:val="20"/>
          <w:szCs w:val="20"/>
        </w:rPr>
        <w:t>DCE ,</w:t>
      </w:r>
      <w:r w:rsidRPr="008F4B40">
        <w:rPr>
          <w:rFonts w:ascii="Palatino Linotype" w:hAnsi="Palatino Linotype" w:cs="Times New Roman"/>
          <w:sz w:val="20"/>
          <w:szCs w:val="20"/>
        </w:rPr>
        <w:t xml:space="preserve"> 2 ml of acidic propanol (4 volume propanol + 1 volume of 37% HCl) were added.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The mixture was incubated in the tightly sealed bottle at 100 ºC water bath for 2 h. After cooling to room temperature, 4 ml of water was injected in</w:t>
      </w:r>
      <w:r w:rsidRPr="008F4B40">
        <w:rPr>
          <w:rFonts w:ascii="Palatino Linotype" w:hAnsi="Palatino Linotype" w:cs="Times New Roman"/>
          <w:noProof/>
          <w:sz w:val="20"/>
          <w:szCs w:val="20"/>
        </w:rPr>
        <w:t>to</w:t>
      </w:r>
      <w:r w:rsidRPr="008F4B40">
        <w:rPr>
          <w:rFonts w:ascii="Palatino Linotype" w:hAnsi="Palatino Linotype" w:cs="Times New Roman"/>
          <w:sz w:val="20"/>
          <w:szCs w:val="20"/>
        </w:rPr>
        <w:t xml:space="preserve"> the mixture. The solution was mixed thoroughly on a vortex mixer for 30 sec. A volume of 1 μl of the dense layer containing DCE, propanol and propyl ester was injected directly </w:t>
      </w:r>
      <w:r w:rsidRPr="008F4B40">
        <w:rPr>
          <w:rFonts w:ascii="Palatino Linotype" w:hAnsi="Palatino Linotype" w:cs="Times New Roman"/>
          <w:noProof/>
          <w:sz w:val="20"/>
          <w:szCs w:val="20"/>
        </w:rPr>
        <w:t>to</w:t>
      </w:r>
      <w:r w:rsidRPr="008F4B40">
        <w:rPr>
          <w:rFonts w:ascii="Palatino Linotype" w:hAnsi="Palatino Linotype" w:cs="Times New Roman"/>
          <w:sz w:val="20"/>
          <w:szCs w:val="20"/>
        </w:rPr>
        <w:t xml:space="preserve"> the GC. Each sample was </w:t>
      </w:r>
      <w:r w:rsidRPr="008F4B40">
        <w:rPr>
          <w:rFonts w:ascii="Palatino Linotype" w:hAnsi="Palatino Linotype" w:cs="Times New Roman"/>
          <w:noProof/>
          <w:sz w:val="20"/>
          <w:szCs w:val="20"/>
        </w:rPr>
        <w:t>analysed</w:t>
      </w:r>
      <w:r w:rsidRPr="008F4B40">
        <w:rPr>
          <w:rFonts w:ascii="Palatino Linotype" w:hAnsi="Palatino Linotype" w:cs="Times New Roman"/>
          <w:sz w:val="20"/>
          <w:szCs w:val="20"/>
        </w:rPr>
        <w:t xml:space="preserve"> in triplicate to ensure reliable repeatability.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 xml:space="preserve">A VARIAN® CP-3800 GC with a CombiPal autosampler and a Poraplot Q-HT 10 m × 32 mm capillary column was used. The GC was coupled with a flame </w:t>
      </w:r>
      <w:r w:rsidRPr="008F4B40">
        <w:rPr>
          <w:rFonts w:ascii="Palatino Linotype" w:hAnsi="Palatino Linotype" w:cs="Times New Roman"/>
          <w:noProof/>
          <w:sz w:val="20"/>
          <w:szCs w:val="20"/>
        </w:rPr>
        <w:t>ionisation</w:t>
      </w:r>
      <w:r w:rsidRPr="008F4B40">
        <w:rPr>
          <w:rFonts w:ascii="Palatino Linotype" w:hAnsi="Palatino Linotype" w:cs="Times New Roman"/>
          <w:sz w:val="20"/>
          <w:szCs w:val="20"/>
        </w:rPr>
        <w:t xml:space="preserve"> detector (FID) for quantitative analysis. The GC-FID system was further connected with a Chemistation Version 6.03 software package for system control, </w:t>
      </w:r>
      <w:r w:rsidRPr="008F4B40">
        <w:rPr>
          <w:rFonts w:ascii="Palatino Linotype" w:hAnsi="Palatino Linotype" w:cs="Times New Roman"/>
          <w:noProof/>
          <w:sz w:val="20"/>
          <w:szCs w:val="20"/>
        </w:rPr>
        <w:t>result</w:t>
      </w:r>
      <w:r w:rsidRPr="008F4B40">
        <w:rPr>
          <w:rFonts w:ascii="Palatino Linotype" w:hAnsi="Palatino Linotype" w:cs="Times New Roman"/>
          <w:sz w:val="20"/>
          <w:szCs w:val="20"/>
        </w:rPr>
        <w:t xml:space="preserve"> presentation and data analysis. Helium and hydrogen were used as the carrier gas and flame gas respectively. The system pressure was held at 5 psi, with a constant flow rate of 1.1845 ml/s. The injector and detector were operated at 230 and 200°C respectively.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 xml:space="preserve">The following temperature profile was used for separation of the propyl ester: 120°C for the first 3 min followed by a temperature rise of 15°C per min to 230 °C which was held for 5 minutes, resulting in a total run time of 15.33 min for each injection. FID measures ions from </w:t>
      </w:r>
      <w:r w:rsidRPr="008F4B40">
        <w:rPr>
          <w:rFonts w:ascii="Palatino Linotype" w:hAnsi="Palatino Linotype" w:cs="Times New Roman"/>
          <w:noProof/>
          <w:sz w:val="20"/>
          <w:szCs w:val="20"/>
        </w:rPr>
        <w:t>combustion</w:t>
      </w:r>
      <w:r w:rsidRPr="008F4B40">
        <w:rPr>
          <w:rFonts w:ascii="Palatino Linotype" w:hAnsi="Palatino Linotype" w:cs="Times New Roman"/>
          <w:sz w:val="20"/>
          <w:szCs w:val="20"/>
        </w:rPr>
        <w:t xml:space="preserve"> of the organic matter in hydrogen </w:t>
      </w:r>
      <w:r w:rsidRPr="008F4B40">
        <w:rPr>
          <w:rFonts w:ascii="Palatino Linotype" w:hAnsi="Palatino Linotype" w:cs="Times New Roman"/>
          <w:noProof/>
          <w:sz w:val="20"/>
          <w:szCs w:val="20"/>
        </w:rPr>
        <w:t>flame</w:t>
      </w:r>
      <w:r w:rsidRPr="008F4B40">
        <w:rPr>
          <w:rFonts w:ascii="Palatino Linotype" w:hAnsi="Palatino Linotype" w:cs="Times New Roman"/>
          <w:sz w:val="20"/>
          <w:szCs w:val="20"/>
        </w:rPr>
        <w:t xml:space="preserve"> and displays the detector response on a chromatogram. The propyl ester generates a peak at 14.14 minutes on the chromatogram, and its quantity can be determined using the area under its peak.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bookmarkStart w:id="25" w:name="OLE_LINK57"/>
      <w:r w:rsidRPr="008F4B40">
        <w:rPr>
          <w:rFonts w:ascii="Palatino Linotype" w:hAnsi="Palatino Linotype" w:cs="Times New Roman"/>
          <w:sz w:val="20"/>
          <w:szCs w:val="20"/>
        </w:rPr>
        <w:t>For PHB calibration, standards containing 50, 40, 30, 20 and 10 mg were prepared in the same way as cell samples. By analysing the working standards in duplicates, a linear correlation between the areas and the quantities of PHB can be established:</w:t>
      </w:r>
      <w:bookmarkEnd w:id="25"/>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33302D" w:rsidP="008802B1">
            <w:pPr>
              <w:pStyle w:val="ad"/>
              <w:autoSpaceDE w:val="0"/>
              <w:autoSpaceDN w:val="0"/>
              <w:adjustRightInd w:val="0"/>
              <w:spacing w:after="0" w:line="360" w:lineRule="auto"/>
              <w:ind w:left="375"/>
              <w:jc w:val="both"/>
              <w:rPr>
                <w:rFonts w:ascii="Palatino Linotype" w:hAnsi="Palatino Linotype" w:cs="Times New Roman"/>
                <w:i/>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M</m:t>
                    </m:r>
                  </m:e>
                  <m:sub>
                    <m:r>
                      <w:rPr>
                        <w:rFonts w:ascii="Cambria Math" w:hAnsi="Cambria Math" w:cs="Times New Roman"/>
                        <w:sz w:val="20"/>
                        <w:szCs w:val="20"/>
                      </w:rPr>
                      <m:t>PHB</m:t>
                    </m:r>
                  </m:sub>
                </m:sSub>
                <m:r>
                  <w:rPr>
                    <w:rFonts w:ascii="Cambria Math" w:hAnsi="Cambria Math" w:cs="Times New Roman"/>
                    <w:sz w:val="20"/>
                    <w:szCs w:val="20"/>
                  </w:rPr>
                  <m:t>=RF×</m:t>
                </m:r>
                <m:sSub>
                  <m:sSubPr>
                    <m:ctrlPr>
                      <w:rPr>
                        <w:rFonts w:ascii="Cambria Math" w:hAnsi="Cambria Math" w:cs="Times New Roman"/>
                        <w:sz w:val="20"/>
                        <w:szCs w:val="20"/>
                      </w:rPr>
                    </m:ctrlPr>
                  </m:sSubPr>
                  <m:e>
                    <m:r>
                      <w:rPr>
                        <w:rFonts w:ascii="Cambria Math" w:hAnsi="Cambria Math" w:cs="Times New Roman"/>
                        <w:sz w:val="20"/>
                        <w:szCs w:val="20"/>
                      </w:rPr>
                      <m:t>A</m:t>
                    </m:r>
                  </m:e>
                  <m:sub>
                    <m:r>
                      <w:rPr>
                        <w:rFonts w:ascii="Cambria Math" w:hAnsi="Cambria Math" w:cs="Times New Roman"/>
                        <w:sz w:val="20"/>
                        <w:szCs w:val="20"/>
                      </w:rPr>
                      <m:t>PHB</m:t>
                    </m:r>
                  </m:sub>
                </m:sSub>
              </m:oMath>
            </m:oMathPara>
          </w:p>
        </w:tc>
        <w:tc>
          <w:tcPr>
            <w:tcW w:w="819" w:type="pct"/>
            <w:vAlign w:val="center"/>
          </w:tcPr>
          <w:p w:rsidR="008802B1" w:rsidRPr="008F4B40" w:rsidRDefault="000C1C45"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5</w:t>
            </w:r>
          </w:p>
        </w:tc>
      </w:tr>
    </w:tbl>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Where:</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M</w:t>
      </w:r>
      <w:r w:rsidRPr="008F4B40">
        <w:rPr>
          <w:rFonts w:ascii="Palatino Linotype" w:hAnsi="Palatino Linotype" w:cs="Times New Roman"/>
          <w:sz w:val="20"/>
          <w:szCs w:val="20"/>
          <w:vertAlign w:val="subscript"/>
        </w:rPr>
        <w:t>PHB</w:t>
      </w:r>
      <w:r w:rsidRPr="008F4B40">
        <w:rPr>
          <w:rFonts w:ascii="Palatino Linotype" w:hAnsi="Palatino Linotype" w:cs="Times New Roman"/>
          <w:sz w:val="20"/>
          <w:szCs w:val="20"/>
        </w:rPr>
        <w:t xml:space="preserve"> is the mass (mg) of PHB in the sample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A</w:t>
      </w:r>
      <w:r w:rsidRPr="008F4B40">
        <w:rPr>
          <w:rFonts w:ascii="Palatino Linotype" w:hAnsi="Palatino Linotype" w:cs="Times New Roman"/>
          <w:sz w:val="20"/>
          <w:szCs w:val="20"/>
          <w:vertAlign w:val="subscript"/>
        </w:rPr>
        <w:t>PHB</w:t>
      </w:r>
      <w:r w:rsidRPr="008F4B40">
        <w:rPr>
          <w:rFonts w:ascii="Palatino Linotype" w:hAnsi="Palatino Linotype" w:cs="Times New Roman"/>
          <w:sz w:val="20"/>
          <w:szCs w:val="20"/>
        </w:rPr>
        <w:t xml:space="preserve"> is the peak areas (in counts) of the propyl ester.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 xml:space="preserve">RF is a conversion factor between the areas and the quantities.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Therefore, the PHB content in any cell sample can be calculated as follows:</w:t>
      </w:r>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8802B1" w:rsidP="008802B1">
            <w:pPr>
              <w:pStyle w:val="ad"/>
              <w:autoSpaceDE w:val="0"/>
              <w:autoSpaceDN w:val="0"/>
              <w:adjustRightInd w:val="0"/>
              <w:spacing w:after="0" w:line="360" w:lineRule="auto"/>
              <w:ind w:left="375"/>
              <w:jc w:val="both"/>
              <w:rPr>
                <w:rFonts w:ascii="Palatino Linotype" w:hAnsi="Palatino Linotype" w:cs="Times New Roman"/>
                <w:i/>
                <w:sz w:val="20"/>
                <w:szCs w:val="20"/>
              </w:rPr>
            </w:pPr>
            <m:oMathPara>
              <m:oMath>
                <m:r>
                  <w:rPr>
                    <w:rFonts w:ascii="Cambria Math" w:hAnsi="Cambria Math" w:cs="Times New Roman"/>
                    <w:sz w:val="20"/>
                    <w:szCs w:val="20"/>
                  </w:rPr>
                  <m:t>PHB%=</m:t>
                </m:r>
                <m:acc>
                  <m:accPr>
                    <m:chr m:val="̅"/>
                    <m:ctrlPr>
                      <w:rPr>
                        <w:rFonts w:ascii="Cambria Math" w:hAnsi="Cambria Math" w:cs="Times New Roman"/>
                        <w:sz w:val="20"/>
                        <w:szCs w:val="20"/>
                      </w:rPr>
                    </m:ctrlPr>
                  </m:accPr>
                  <m:e>
                    <m:r>
                      <w:rPr>
                        <w:rFonts w:ascii="Cambria Math" w:hAnsi="Cambria Math" w:cs="Times New Roman"/>
                        <w:sz w:val="20"/>
                        <w:szCs w:val="20"/>
                      </w:rPr>
                      <m:t>RF</m:t>
                    </m:r>
                  </m:e>
                </m:acc>
                <m:d>
                  <m:dPr>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A</m:t>
                            </m:r>
                          </m:e>
                          <m:sub>
                            <m:r>
                              <w:rPr>
                                <w:rFonts w:ascii="Cambria Math" w:hAnsi="Cambria Math" w:cs="Times New Roman"/>
                                <w:sz w:val="20"/>
                                <w:szCs w:val="20"/>
                              </w:rPr>
                              <m:t>PHB</m:t>
                            </m:r>
                          </m:sub>
                        </m:sSub>
                      </m:num>
                      <m:den>
                        <m:sSub>
                          <m:sSubPr>
                            <m:ctrlPr>
                              <w:rPr>
                                <w:rFonts w:ascii="Cambria Math" w:hAnsi="Cambria Math" w:cs="Times New Roman"/>
                                <w:sz w:val="20"/>
                                <w:szCs w:val="20"/>
                              </w:rPr>
                            </m:ctrlPr>
                          </m:sSubPr>
                          <m:e>
                            <m:r>
                              <w:rPr>
                                <w:rFonts w:ascii="Cambria Math" w:hAnsi="Cambria Math" w:cs="Times New Roman"/>
                                <w:sz w:val="20"/>
                                <w:szCs w:val="20"/>
                              </w:rPr>
                              <m:t>M</m:t>
                            </m:r>
                          </m:e>
                          <m:sub>
                            <m:r>
                              <w:rPr>
                                <w:rFonts w:ascii="Cambria Math" w:hAnsi="Cambria Math" w:cs="Times New Roman"/>
                                <w:sz w:val="20"/>
                                <w:szCs w:val="20"/>
                              </w:rPr>
                              <m:t>DCW</m:t>
                            </m:r>
                          </m:sub>
                        </m:sSub>
                      </m:den>
                    </m:f>
                  </m:e>
                </m:d>
              </m:oMath>
            </m:oMathPara>
          </w:p>
        </w:tc>
        <w:tc>
          <w:tcPr>
            <w:tcW w:w="819" w:type="pct"/>
            <w:vAlign w:val="center"/>
          </w:tcPr>
          <w:p w:rsidR="008802B1" w:rsidRPr="008F4B40" w:rsidRDefault="000C1C45"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6</w:t>
            </w:r>
          </w:p>
        </w:tc>
      </w:tr>
    </w:tbl>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Where: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noProof/>
          <w:sz w:val="20"/>
          <w:szCs w:val="20"/>
        </w:rPr>
      </w:pPr>
      <w:r w:rsidRPr="008F4B40">
        <w:rPr>
          <w:rFonts w:ascii="Palatino Linotype" w:hAnsi="Palatino Linotype" w:cs="Times New Roman"/>
          <w:sz w:val="20"/>
          <w:szCs w:val="20"/>
          <w:shd w:val="clear" w:color="auto" w:fill="FFFFFF"/>
        </w:rPr>
        <w:lastRenderedPageBreak/>
        <w:t>M</w:t>
      </w:r>
      <w:r w:rsidRPr="008F4B40">
        <w:rPr>
          <w:rFonts w:ascii="Palatino Linotype" w:hAnsi="Palatino Linotype" w:cs="Times New Roman"/>
          <w:sz w:val="20"/>
          <w:szCs w:val="20"/>
          <w:shd w:val="clear" w:color="auto" w:fill="FFFFFF"/>
          <w:vertAlign w:val="subscript"/>
        </w:rPr>
        <w:t>DCW</w:t>
      </w:r>
      <w:r w:rsidRPr="008F4B40">
        <w:rPr>
          <w:rFonts w:ascii="Palatino Linotype" w:hAnsi="Palatino Linotype" w:cs="Times New Roman"/>
          <w:sz w:val="20"/>
          <w:szCs w:val="20"/>
          <w:shd w:val="clear" w:color="auto" w:fill="FFFFFF"/>
        </w:rPr>
        <w:t xml:space="preserve"> is the total dry cell mass in the sample. </w:t>
      </w:r>
      <w:r w:rsidRPr="008F4B40">
        <w:rPr>
          <w:rFonts w:ascii="Palatino Linotype" w:hAnsi="Palatino Linotype" w:cs="Times New Roman"/>
          <w:noProof/>
          <w:sz w:val="20"/>
          <w:szCs w:val="20"/>
        </w:rPr>
        <w:t>Then, the amount of active biomass (i.e. non-PHB biomass) C</w:t>
      </w:r>
      <w:r w:rsidRPr="008F4B40">
        <w:rPr>
          <w:rFonts w:ascii="Palatino Linotype" w:hAnsi="Palatino Linotype" w:cs="Times New Roman"/>
          <w:noProof/>
          <w:sz w:val="20"/>
          <w:szCs w:val="20"/>
          <w:vertAlign w:val="subscript"/>
        </w:rPr>
        <w:t>bio</w:t>
      </w:r>
      <w:r w:rsidRPr="008F4B40">
        <w:rPr>
          <w:rFonts w:ascii="Palatino Linotype" w:hAnsi="Palatino Linotype" w:cs="Times New Roman"/>
          <w:noProof/>
          <w:sz w:val="20"/>
          <w:szCs w:val="20"/>
        </w:rPr>
        <w:t xml:space="preserve"> can be estimated: </w:t>
      </w:r>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33302D" w:rsidP="008802B1">
            <w:pPr>
              <w:pStyle w:val="ad"/>
              <w:autoSpaceDE w:val="0"/>
              <w:autoSpaceDN w:val="0"/>
              <w:adjustRightInd w:val="0"/>
              <w:spacing w:after="0" w:line="360" w:lineRule="auto"/>
              <w:ind w:left="375"/>
              <w:jc w:val="both"/>
              <w:rPr>
                <w:rFonts w:ascii="Palatino Linotype" w:hAnsi="Palatino Linotype" w:cs="Times New Roman"/>
                <w:i/>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bio</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TDW</m:t>
                    </m:r>
                  </m:sub>
                </m:sSub>
                <m:r>
                  <w:rPr>
                    <w:rFonts w:ascii="Cambria Math" w:hAnsi="Cambria Math" w:cs="Times New Roman"/>
                    <w:sz w:val="20"/>
                    <w:szCs w:val="20"/>
                  </w:rPr>
                  <m:t>(1-PHB%)</m:t>
                </m:r>
              </m:oMath>
            </m:oMathPara>
          </w:p>
        </w:tc>
        <w:tc>
          <w:tcPr>
            <w:tcW w:w="819" w:type="pct"/>
            <w:vAlign w:val="center"/>
          </w:tcPr>
          <w:p w:rsidR="008802B1" w:rsidRPr="008F4B40" w:rsidRDefault="008802B1"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Eq.7</w:t>
            </w:r>
          </w:p>
        </w:tc>
      </w:tr>
    </w:tbl>
    <w:p w:rsidR="008802B1" w:rsidRPr="008F4B40" w:rsidRDefault="008802B1" w:rsidP="00F315E9">
      <w:pPr>
        <w:pStyle w:val="3"/>
        <w:numPr>
          <w:ilvl w:val="1"/>
          <w:numId w:val="33"/>
        </w:numPr>
        <w:spacing w:before="0"/>
        <w:rPr>
          <w:rFonts w:ascii="Palatino Linotype" w:hAnsi="Palatino Linotype" w:cs="Times New Roman"/>
          <w:color w:val="auto"/>
          <w:sz w:val="20"/>
          <w:szCs w:val="20"/>
        </w:rPr>
      </w:pPr>
      <w:bookmarkStart w:id="26" w:name="_Toc500722088"/>
      <w:bookmarkStart w:id="27" w:name="_Toc38967965"/>
      <w:r w:rsidRPr="008F4B40">
        <w:rPr>
          <w:rFonts w:ascii="Palatino Linotype" w:hAnsi="Palatino Linotype" w:cs="Times New Roman"/>
          <w:color w:val="auto"/>
          <w:sz w:val="20"/>
          <w:szCs w:val="20"/>
        </w:rPr>
        <w:t>HPLC measurement</w:t>
      </w:r>
      <w:bookmarkEnd w:id="26"/>
      <w:bookmarkEnd w:id="27"/>
    </w:p>
    <w:p w:rsidR="008802B1" w:rsidRPr="008F4B40" w:rsidRDefault="008802B1" w:rsidP="008802B1">
      <w:pPr>
        <w:spacing w:after="0" w:line="360" w:lineRule="auto"/>
        <w:jc w:val="both"/>
        <w:rPr>
          <w:rFonts w:ascii="Palatino Linotype" w:hAnsi="Palatino Linotype" w:cs="Times New Roman"/>
          <w:i/>
          <w:noProof/>
          <w:sz w:val="20"/>
          <w:szCs w:val="20"/>
        </w:rPr>
      </w:pPr>
      <w:r w:rsidRPr="008F4B40">
        <w:rPr>
          <w:rFonts w:ascii="Palatino Linotype" w:hAnsi="Palatino Linotype" w:cs="Times New Roman"/>
          <w:noProof/>
          <w:sz w:val="20"/>
          <w:szCs w:val="20"/>
        </w:rPr>
        <w:t xml:space="preserve">Glycerol, organic acids and ethanol concentrations were determined off-line by HPLC system (UltiMate 3000) equipped with a Hi-Plex H HPLC column (7.7 × 300 mm, 8 μm), an autosampler column compartment (UltiMate 3000), an HPLC pump (UltiMate 3000) and a refraction index detector (ERC RefractMax520). Five millimolar of sulfuric acid solution was used as the mobile phase at a flow rate of 0.6 ml/ min. The column was kept at 50 °C. </w:t>
      </w:r>
    </w:p>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noProof/>
          <w:sz w:val="20"/>
          <w:szCs w:val="20"/>
        </w:rPr>
        <w:t xml:space="preserve">To prepare HPLC samples, the preserved supernatant was filtered by 0.2 μm Whatman filter paper, then diluted using ultrapure water </w:t>
      </w:r>
      <w:r w:rsidRPr="008F4B40">
        <w:rPr>
          <w:rFonts w:ascii="Palatino Linotype" w:hAnsi="Palatino Linotype" w:cs="Times New Roman"/>
          <w:sz w:val="20"/>
          <w:szCs w:val="20"/>
        </w:rPr>
        <w:t xml:space="preserve">(0.4 ml filtered supernatant in 1.4 ml water). For external standard calibration, a mixed standard stock containing all the 8 analytes were prepared using ultrapure water, filtered and then diluted by 1.33, 2, 2.66, 4 and 8 times to create five other standards at lower concentrations. </w:t>
      </w:r>
    </w:p>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Similar to GC-FID analysis, a linear calibration curve can be obtained for each of the components by measuring all the six standards in triplicate and plotting the analyte concentrations versus respective peak areas. Therefore the concentration of the analytes in any given sample can be calculated as:</w:t>
      </w:r>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33302D" w:rsidP="008802B1">
            <w:pPr>
              <w:spacing w:after="0" w:line="360" w:lineRule="auto"/>
              <w:jc w:val="both"/>
              <w:rPr>
                <w:rFonts w:ascii="Palatino Linotype" w:hAnsi="Palatino Linotype"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A</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Grad</m:t>
                    </m:r>
                  </m:e>
                  <m:sub>
                    <m:r>
                      <w:rPr>
                        <w:rFonts w:ascii="Cambria Math" w:hAnsi="Cambria Math" w:cs="Times New Roman"/>
                        <w:sz w:val="20"/>
                        <w:szCs w:val="20"/>
                      </w:rPr>
                      <m:t>S</m:t>
                    </m:r>
                  </m:sub>
                </m:sSub>
                <m:r>
                  <w:rPr>
                    <w:rFonts w:ascii="Cambria Math" w:hAnsi="Cambria Math" w:cs="Times New Roman"/>
                    <w:sz w:val="20"/>
                    <w:szCs w:val="20"/>
                  </w:rPr>
                  <m:t>∙D</m:t>
                </m:r>
              </m:oMath>
            </m:oMathPara>
          </w:p>
        </w:tc>
        <w:tc>
          <w:tcPr>
            <w:tcW w:w="819" w:type="pct"/>
            <w:vAlign w:val="center"/>
          </w:tcPr>
          <w:p w:rsidR="008802B1" w:rsidRPr="008F4B40" w:rsidRDefault="000C1C45" w:rsidP="000C1C45">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8</w:t>
            </w:r>
          </w:p>
        </w:tc>
      </w:tr>
    </w:tbl>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Where:</w:t>
      </w:r>
    </w:p>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C</w:t>
      </w:r>
      <w:r w:rsidRPr="008F4B40">
        <w:rPr>
          <w:rFonts w:ascii="Palatino Linotype" w:hAnsi="Palatino Linotype" w:cs="Times New Roman"/>
          <w:sz w:val="20"/>
          <w:szCs w:val="20"/>
          <w:vertAlign w:val="subscript"/>
        </w:rPr>
        <w:t>S</w:t>
      </w:r>
      <w:r w:rsidRPr="008F4B40">
        <w:rPr>
          <w:rFonts w:ascii="Palatino Linotype" w:hAnsi="Palatino Linotype" w:cs="Times New Roman"/>
          <w:sz w:val="20"/>
          <w:szCs w:val="20"/>
        </w:rPr>
        <w:t xml:space="preserve"> is the concentration of a specific analyte in the supernatant</w:t>
      </w:r>
    </w:p>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A</w:t>
      </w:r>
      <w:r w:rsidRPr="008F4B40">
        <w:rPr>
          <w:rFonts w:ascii="Palatino Linotype" w:hAnsi="Palatino Linotype" w:cs="Times New Roman"/>
          <w:sz w:val="20"/>
          <w:szCs w:val="20"/>
          <w:vertAlign w:val="subscript"/>
        </w:rPr>
        <w:t>S</w:t>
      </w:r>
      <w:r w:rsidRPr="008F4B40">
        <w:rPr>
          <w:rFonts w:ascii="Palatino Linotype" w:hAnsi="Palatino Linotype" w:cs="Times New Roman"/>
          <w:sz w:val="20"/>
          <w:szCs w:val="20"/>
        </w:rPr>
        <w:t xml:space="preserve"> is the peak area of the analyte</w:t>
      </w:r>
    </w:p>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Grad</w:t>
      </w:r>
      <w:r w:rsidRPr="008F4B40">
        <w:rPr>
          <w:rFonts w:ascii="Palatino Linotype" w:hAnsi="Palatino Linotype" w:cs="Times New Roman"/>
          <w:sz w:val="20"/>
          <w:szCs w:val="20"/>
          <w:vertAlign w:val="subscript"/>
        </w:rPr>
        <w:t>S</w:t>
      </w:r>
      <w:r w:rsidRPr="008F4B40">
        <w:rPr>
          <w:rFonts w:ascii="Palatino Linotype" w:hAnsi="Palatino Linotype" w:cs="Times New Roman"/>
          <w:sz w:val="20"/>
          <w:szCs w:val="20"/>
        </w:rPr>
        <w:t xml:space="preserve"> </w:t>
      </w:r>
      <w:r w:rsidRPr="008F4B40">
        <w:rPr>
          <w:rFonts w:ascii="Palatino Linotype" w:hAnsi="Palatino Linotype" w:cs="Times New Roman"/>
          <w:noProof/>
          <w:sz w:val="20"/>
          <w:szCs w:val="20"/>
        </w:rPr>
        <w:t>is</w:t>
      </w:r>
      <w:r w:rsidRPr="008F4B40">
        <w:rPr>
          <w:rFonts w:ascii="Palatino Linotype" w:hAnsi="Palatino Linotype" w:cs="Times New Roman"/>
          <w:sz w:val="20"/>
          <w:szCs w:val="20"/>
        </w:rPr>
        <w:t xml:space="preserve"> the gradient of the calibration curve. </w:t>
      </w:r>
    </w:p>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 xml:space="preserve">D, the dilution factor applied to the sample, equals to 4.5 (1.8 ml / 0.4 ml = 4.5). </w:t>
      </w:r>
    </w:p>
    <w:tbl>
      <w:tblPr>
        <w:tblW w:w="0" w:type="auto"/>
        <w:jc w:val="center"/>
        <w:tblLook w:val="04A0" w:firstRow="1" w:lastRow="0" w:firstColumn="1" w:lastColumn="0" w:noHBand="0" w:noVBand="1"/>
      </w:tblPr>
      <w:tblGrid>
        <w:gridCol w:w="750"/>
        <w:gridCol w:w="1370"/>
        <w:gridCol w:w="2053"/>
      </w:tblGrid>
      <w:tr w:rsidR="008802B1" w:rsidRPr="008F4B40" w:rsidTr="008802B1">
        <w:trPr>
          <w:trHeight w:val="300"/>
          <w:jc w:val="center"/>
        </w:trPr>
        <w:tc>
          <w:tcPr>
            <w:tcW w:w="0" w:type="auto"/>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bookmarkStart w:id="28" w:name="_Toc394067773"/>
            <w:r w:rsidRPr="008F4B40">
              <w:rPr>
                <w:rFonts w:ascii="Palatino Linotype" w:eastAsia="Times New Roman" w:hAnsi="Palatino Linotype" w:cs="Times New Roman"/>
                <w:sz w:val="20"/>
                <w:szCs w:val="20"/>
              </w:rPr>
              <w:t>Order</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Metabolite</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 xml:space="preserve">Retention time (min) </w:t>
            </w:r>
          </w:p>
        </w:tc>
      </w:tr>
      <w:tr w:rsidR="008802B1" w:rsidRPr="008F4B40" w:rsidTr="008802B1">
        <w:trPr>
          <w:trHeight w:val="315"/>
          <w:jc w:val="center"/>
        </w:trPr>
        <w:tc>
          <w:tcPr>
            <w:tcW w:w="0" w:type="auto"/>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1</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Malic acid</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9.438</w:t>
            </w:r>
          </w:p>
        </w:tc>
      </w:tr>
      <w:tr w:rsidR="008802B1" w:rsidRPr="008F4B40" w:rsidTr="008802B1">
        <w:trPr>
          <w:trHeight w:val="330"/>
          <w:jc w:val="center"/>
        </w:trPr>
        <w:tc>
          <w:tcPr>
            <w:tcW w:w="0" w:type="auto"/>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2</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Succinic acid</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11.647</w:t>
            </w:r>
          </w:p>
        </w:tc>
      </w:tr>
      <w:tr w:rsidR="008802B1" w:rsidRPr="008F4B40" w:rsidTr="008802B1">
        <w:trPr>
          <w:trHeight w:val="315"/>
          <w:jc w:val="center"/>
        </w:trPr>
        <w:tc>
          <w:tcPr>
            <w:tcW w:w="0" w:type="auto"/>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3</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Lactic acid</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12.423</w:t>
            </w:r>
          </w:p>
        </w:tc>
      </w:tr>
      <w:tr w:rsidR="008802B1" w:rsidRPr="008F4B40" w:rsidTr="008802B1">
        <w:trPr>
          <w:trHeight w:val="315"/>
          <w:jc w:val="center"/>
        </w:trPr>
        <w:tc>
          <w:tcPr>
            <w:tcW w:w="0" w:type="auto"/>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4</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Glycerol</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13.048</w:t>
            </w:r>
          </w:p>
        </w:tc>
      </w:tr>
      <w:tr w:rsidR="008802B1" w:rsidRPr="008F4B40" w:rsidTr="008802B1">
        <w:trPr>
          <w:trHeight w:val="315"/>
          <w:jc w:val="center"/>
        </w:trPr>
        <w:tc>
          <w:tcPr>
            <w:tcW w:w="0" w:type="auto"/>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5</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Formic acid</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13.725</w:t>
            </w:r>
          </w:p>
        </w:tc>
      </w:tr>
      <w:tr w:rsidR="008802B1" w:rsidRPr="008F4B40" w:rsidTr="008802B1">
        <w:trPr>
          <w:trHeight w:val="330"/>
          <w:jc w:val="center"/>
        </w:trPr>
        <w:tc>
          <w:tcPr>
            <w:tcW w:w="0" w:type="auto"/>
          </w:tcPr>
          <w:p w:rsidR="008802B1" w:rsidRPr="008F4B40" w:rsidRDefault="008802B1" w:rsidP="008802B1">
            <w:pPr>
              <w:spacing w:after="0" w:line="240" w:lineRule="auto"/>
              <w:jc w:val="center"/>
              <w:rPr>
                <w:rFonts w:ascii="Palatino Linotype" w:eastAsia="Times New Roman" w:hAnsi="Palatino Linotype" w:cs="Times New Roman"/>
                <w:sz w:val="20"/>
                <w:szCs w:val="20"/>
              </w:rPr>
            </w:pPr>
            <w:r w:rsidRPr="008F4B40">
              <w:rPr>
                <w:rFonts w:ascii="Palatino Linotype" w:eastAsia="Times New Roman" w:hAnsi="Palatino Linotype" w:cs="Times New Roman"/>
                <w:sz w:val="20"/>
                <w:szCs w:val="20"/>
              </w:rPr>
              <w:t>6</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sz w:val="20"/>
                <w:szCs w:val="20"/>
              </w:rPr>
            </w:pPr>
            <w:r w:rsidRPr="008F4B40">
              <w:rPr>
                <w:rFonts w:ascii="Palatino Linotype" w:eastAsia="Times New Roman" w:hAnsi="Palatino Linotype" w:cs="Times New Roman"/>
                <w:sz w:val="20"/>
                <w:szCs w:val="20"/>
              </w:rPr>
              <w:t>Fumaric acid</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14.3767</w:t>
            </w:r>
          </w:p>
        </w:tc>
      </w:tr>
      <w:tr w:rsidR="008802B1" w:rsidRPr="008F4B40" w:rsidTr="008802B1">
        <w:trPr>
          <w:trHeight w:val="315"/>
          <w:jc w:val="center"/>
        </w:trPr>
        <w:tc>
          <w:tcPr>
            <w:tcW w:w="0" w:type="auto"/>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7</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Acetic acid</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14.953</w:t>
            </w:r>
          </w:p>
        </w:tc>
      </w:tr>
      <w:tr w:rsidR="008802B1" w:rsidRPr="008F4B40" w:rsidTr="008802B1">
        <w:trPr>
          <w:trHeight w:val="315"/>
          <w:jc w:val="center"/>
        </w:trPr>
        <w:tc>
          <w:tcPr>
            <w:tcW w:w="0" w:type="auto"/>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8</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Ethanol</w:t>
            </w:r>
          </w:p>
        </w:tc>
        <w:tc>
          <w:tcPr>
            <w:tcW w:w="0" w:type="auto"/>
            <w:noWrap/>
            <w:hideMark/>
          </w:tcPr>
          <w:p w:rsidR="008802B1" w:rsidRPr="008F4B40" w:rsidRDefault="008802B1" w:rsidP="008802B1">
            <w:pPr>
              <w:spacing w:after="0" w:line="240" w:lineRule="auto"/>
              <w:jc w:val="center"/>
              <w:rPr>
                <w:rFonts w:ascii="Palatino Linotype" w:eastAsia="Times New Roman" w:hAnsi="Palatino Linotype" w:cs="Times New Roman"/>
                <w:i/>
                <w:iCs/>
                <w:sz w:val="20"/>
                <w:szCs w:val="20"/>
              </w:rPr>
            </w:pPr>
            <w:r w:rsidRPr="008F4B40">
              <w:rPr>
                <w:rFonts w:ascii="Palatino Linotype" w:eastAsia="Times New Roman" w:hAnsi="Palatino Linotype" w:cs="Times New Roman"/>
                <w:sz w:val="20"/>
                <w:szCs w:val="20"/>
              </w:rPr>
              <w:t>21.32</w:t>
            </w:r>
          </w:p>
        </w:tc>
      </w:tr>
    </w:tbl>
    <w:p w:rsidR="008802B1" w:rsidRPr="008F4B40" w:rsidRDefault="008802B1" w:rsidP="008802B1">
      <w:pPr>
        <w:pStyle w:val="af"/>
        <w:spacing w:after="120"/>
        <w:jc w:val="center"/>
        <w:rPr>
          <w:rFonts w:ascii="Palatino Linotype" w:hAnsi="Palatino Linotype" w:cs="Times New Roman"/>
          <w:b w:val="0"/>
          <w:i/>
          <w:color w:val="auto"/>
          <w:sz w:val="20"/>
          <w:szCs w:val="20"/>
        </w:rPr>
      </w:pPr>
      <w:bookmarkStart w:id="29" w:name="_Toc500722265"/>
      <w:r w:rsidRPr="008F4B40">
        <w:rPr>
          <w:rFonts w:ascii="Palatino Linotype" w:hAnsi="Palatino Linotype" w:cs="Times New Roman"/>
          <w:b w:val="0"/>
          <w:color w:val="auto"/>
          <w:sz w:val="20"/>
          <w:szCs w:val="20"/>
        </w:rPr>
        <w:t xml:space="preserve">Table </w:t>
      </w:r>
      <w:r w:rsidRPr="008F4B40">
        <w:rPr>
          <w:rFonts w:ascii="Palatino Linotype" w:hAnsi="Palatino Linotype" w:cs="Times New Roman"/>
          <w:b w:val="0"/>
          <w:i/>
          <w:color w:val="auto"/>
          <w:sz w:val="20"/>
          <w:szCs w:val="20"/>
        </w:rPr>
        <w:fldChar w:fldCharType="begin"/>
      </w:r>
      <w:r w:rsidRPr="008F4B40">
        <w:rPr>
          <w:rFonts w:ascii="Palatino Linotype" w:hAnsi="Palatino Linotype" w:cs="Times New Roman"/>
          <w:b w:val="0"/>
          <w:color w:val="auto"/>
          <w:sz w:val="20"/>
          <w:szCs w:val="20"/>
        </w:rPr>
        <w:instrText xml:space="preserve"> SEQ Table \* ARABIC \s 1 </w:instrText>
      </w:r>
      <w:r w:rsidRPr="008F4B40">
        <w:rPr>
          <w:rFonts w:ascii="Palatino Linotype" w:hAnsi="Palatino Linotype" w:cs="Times New Roman"/>
          <w:b w:val="0"/>
          <w:i/>
          <w:color w:val="auto"/>
          <w:sz w:val="20"/>
          <w:szCs w:val="20"/>
        </w:rPr>
        <w:fldChar w:fldCharType="separate"/>
      </w:r>
      <w:r w:rsidR="000C1C45" w:rsidRPr="008F4B40">
        <w:rPr>
          <w:rFonts w:ascii="Palatino Linotype" w:hAnsi="Palatino Linotype" w:cs="Times New Roman"/>
          <w:b w:val="0"/>
          <w:noProof/>
          <w:color w:val="auto"/>
          <w:sz w:val="20"/>
          <w:szCs w:val="20"/>
        </w:rPr>
        <w:t>1</w:t>
      </w:r>
      <w:r w:rsidRPr="008F4B40">
        <w:rPr>
          <w:rFonts w:ascii="Palatino Linotype" w:hAnsi="Palatino Linotype" w:cs="Times New Roman"/>
          <w:b w:val="0"/>
          <w:i/>
          <w:color w:val="auto"/>
          <w:sz w:val="20"/>
          <w:szCs w:val="20"/>
        </w:rPr>
        <w:fldChar w:fldCharType="end"/>
      </w:r>
      <w:r w:rsidRPr="008F4B40">
        <w:rPr>
          <w:rFonts w:ascii="Palatino Linotype" w:hAnsi="Palatino Linotype" w:cs="Times New Roman"/>
          <w:b w:val="0"/>
          <w:color w:val="auto"/>
          <w:sz w:val="20"/>
          <w:szCs w:val="20"/>
        </w:rPr>
        <w:t xml:space="preserve"> – Ty</w:t>
      </w:r>
      <w:bookmarkEnd w:id="28"/>
      <w:r w:rsidRPr="008F4B40">
        <w:rPr>
          <w:rFonts w:ascii="Palatino Linotype" w:hAnsi="Palatino Linotype" w:cs="Times New Roman"/>
          <w:b w:val="0"/>
          <w:color w:val="auto"/>
          <w:sz w:val="20"/>
          <w:szCs w:val="20"/>
        </w:rPr>
        <w:t xml:space="preserve">pical retention times of the eight </w:t>
      </w:r>
      <w:bookmarkStart w:id="30" w:name="OLE_LINK51"/>
      <w:bookmarkStart w:id="31" w:name="OLE_LINK52"/>
      <w:r w:rsidRPr="008F4B40">
        <w:rPr>
          <w:rFonts w:ascii="Palatino Linotype" w:hAnsi="Palatino Linotype" w:cs="Times New Roman"/>
          <w:b w:val="0"/>
          <w:color w:val="auto"/>
          <w:sz w:val="20"/>
          <w:szCs w:val="20"/>
        </w:rPr>
        <w:t>analytes</w:t>
      </w:r>
      <w:bookmarkEnd w:id="30"/>
      <w:bookmarkEnd w:id="31"/>
      <w:r w:rsidRPr="008F4B40">
        <w:rPr>
          <w:rFonts w:ascii="Palatino Linotype" w:hAnsi="Palatino Linotype" w:cs="Times New Roman"/>
          <w:b w:val="0"/>
          <w:color w:val="auto"/>
          <w:sz w:val="20"/>
          <w:szCs w:val="20"/>
        </w:rPr>
        <w:t xml:space="preserve"> in HPLC</w:t>
      </w:r>
      <w:bookmarkEnd w:id="29"/>
    </w:p>
    <w:p w:rsidR="008802B1" w:rsidRPr="008F4B40" w:rsidRDefault="000C1C45" w:rsidP="00F315E9">
      <w:pPr>
        <w:pStyle w:val="3"/>
        <w:numPr>
          <w:ilvl w:val="1"/>
          <w:numId w:val="33"/>
        </w:numPr>
        <w:spacing w:before="0"/>
        <w:rPr>
          <w:rFonts w:ascii="Palatino Linotype" w:hAnsi="Palatino Linotype" w:cs="Times New Roman"/>
          <w:color w:val="auto"/>
          <w:sz w:val="20"/>
          <w:szCs w:val="20"/>
        </w:rPr>
      </w:pPr>
      <w:bookmarkStart w:id="32" w:name="_Nitrogen_determination"/>
      <w:bookmarkStart w:id="33" w:name="_Toc38967966"/>
      <w:bookmarkEnd w:id="32"/>
      <w:r w:rsidRPr="008F4B40">
        <w:rPr>
          <w:rFonts w:ascii="Palatino Linotype" w:hAnsi="Palatino Linotype" w:cs="Times New Roman"/>
          <w:color w:val="auto"/>
          <w:sz w:val="20"/>
          <w:szCs w:val="20"/>
        </w:rPr>
        <w:lastRenderedPageBreak/>
        <w:t>Nitrogen measurement</w:t>
      </w:r>
      <w:bookmarkEnd w:id="33"/>
    </w:p>
    <w:p w:rsidR="008802B1" w:rsidRPr="008F4B40" w:rsidRDefault="008802B1" w:rsidP="008802B1">
      <w:pPr>
        <w:autoSpaceDE w:val="0"/>
        <w:autoSpaceDN w:val="0"/>
        <w:adjustRightInd w:val="0"/>
        <w:spacing w:after="0" w:line="360" w:lineRule="auto"/>
        <w:jc w:val="both"/>
        <w:rPr>
          <w:rFonts w:ascii="Palatino Linotype" w:hAnsi="Palatino Linotype" w:cs="Times New Roman"/>
          <w:i/>
          <w:noProof/>
          <w:sz w:val="20"/>
          <w:szCs w:val="20"/>
          <w:shd w:val="clear" w:color="auto" w:fill="FFFFFF"/>
        </w:rPr>
      </w:pPr>
      <w:r w:rsidRPr="008F4B40">
        <w:rPr>
          <w:rFonts w:ascii="Palatino Linotype" w:hAnsi="Palatino Linotype" w:cs="Times New Roman"/>
          <w:noProof/>
          <w:sz w:val="20"/>
          <w:szCs w:val="20"/>
          <w:shd w:val="clear" w:color="auto" w:fill="FFFFFF"/>
        </w:rPr>
        <w:t>Nitrogen concentration in the supernatant was determined by Shimadzu TOC-vcsh/TN Analyser equipped with an ASV-I automatic sample injector. Diluted samples were vapourised and underwent combustion catalytic oxidation at 700 °C in the analyser. Data acquisition and analysis are supported by an inbuilt TOC-control software. The calibration was performed automatically using 1g/l of (NH</w:t>
      </w:r>
      <w:r w:rsidRPr="008F4B40">
        <w:rPr>
          <w:rFonts w:ascii="Palatino Linotype" w:hAnsi="Palatino Linotype" w:cs="Times New Roman"/>
          <w:noProof/>
          <w:sz w:val="20"/>
          <w:szCs w:val="20"/>
          <w:shd w:val="clear" w:color="auto" w:fill="FFFFFF"/>
          <w:vertAlign w:val="subscript"/>
        </w:rPr>
        <w:t>4</w:t>
      </w:r>
      <w:r w:rsidRPr="008F4B40">
        <w:rPr>
          <w:rFonts w:ascii="Palatino Linotype" w:hAnsi="Palatino Linotype" w:cs="Times New Roman"/>
          <w:noProof/>
          <w:sz w:val="20"/>
          <w:szCs w:val="20"/>
          <w:shd w:val="clear" w:color="auto" w:fill="FFFFFF"/>
        </w:rPr>
        <w:t>)</w:t>
      </w:r>
      <w:r w:rsidRPr="008F4B40">
        <w:rPr>
          <w:rFonts w:ascii="Palatino Linotype" w:hAnsi="Palatino Linotype" w:cs="Times New Roman"/>
          <w:noProof/>
          <w:sz w:val="20"/>
          <w:szCs w:val="20"/>
          <w:shd w:val="clear" w:color="auto" w:fill="FFFFFF"/>
          <w:vertAlign w:val="subscript"/>
        </w:rPr>
        <w:t>2</w:t>
      </w:r>
      <w:r w:rsidRPr="008F4B40">
        <w:rPr>
          <w:rFonts w:ascii="Palatino Linotype" w:hAnsi="Palatino Linotype" w:cs="Times New Roman"/>
          <w:noProof/>
          <w:sz w:val="20"/>
          <w:szCs w:val="20"/>
          <w:shd w:val="clear" w:color="auto" w:fill="FFFFFF"/>
        </w:rPr>
        <w:t>SO</w:t>
      </w:r>
      <w:r w:rsidRPr="008F4B40">
        <w:rPr>
          <w:rFonts w:ascii="Palatino Linotype" w:hAnsi="Palatino Linotype" w:cs="Times New Roman"/>
          <w:noProof/>
          <w:sz w:val="20"/>
          <w:szCs w:val="20"/>
          <w:shd w:val="clear" w:color="auto" w:fill="FFFFFF"/>
          <w:vertAlign w:val="subscript"/>
        </w:rPr>
        <w:t>4</w:t>
      </w:r>
      <w:r w:rsidRPr="008F4B40">
        <w:rPr>
          <w:rFonts w:ascii="Palatino Linotype" w:hAnsi="Palatino Linotype" w:cs="Times New Roman"/>
          <w:noProof/>
          <w:sz w:val="20"/>
          <w:szCs w:val="20"/>
          <w:shd w:val="clear" w:color="auto" w:fill="FFFFFF"/>
        </w:rPr>
        <w:t xml:space="preserve"> as the calibration solution.</w:t>
      </w:r>
    </w:p>
    <w:p w:rsidR="008802B1" w:rsidRPr="008F4B40" w:rsidRDefault="000C1C45" w:rsidP="00F315E9">
      <w:pPr>
        <w:pStyle w:val="3"/>
        <w:numPr>
          <w:ilvl w:val="1"/>
          <w:numId w:val="33"/>
        </w:numPr>
        <w:spacing w:before="0"/>
        <w:rPr>
          <w:rFonts w:ascii="Palatino Linotype" w:hAnsi="Palatino Linotype" w:cs="Times New Roman"/>
          <w:color w:val="auto"/>
          <w:sz w:val="20"/>
          <w:szCs w:val="20"/>
        </w:rPr>
      </w:pPr>
      <w:bookmarkStart w:id="34" w:name="_Toc38967967"/>
      <w:r w:rsidRPr="008F4B40">
        <w:rPr>
          <w:rFonts w:ascii="Palatino Linotype" w:hAnsi="Palatino Linotype" w:cs="Times New Roman"/>
          <w:color w:val="auto"/>
          <w:sz w:val="20"/>
          <w:szCs w:val="20"/>
        </w:rPr>
        <w:t>pH measurement</w:t>
      </w:r>
      <w:bookmarkEnd w:id="34"/>
    </w:p>
    <w:p w:rsidR="008802B1" w:rsidRPr="008F4B40" w:rsidRDefault="008802B1" w:rsidP="008802B1">
      <w:pPr>
        <w:spacing w:after="0" w:line="360" w:lineRule="auto"/>
        <w:jc w:val="both"/>
        <w:rPr>
          <w:rFonts w:ascii="Palatino Linotype" w:hAnsi="Palatino Linotype" w:cs="Times New Roman"/>
          <w:i/>
          <w:sz w:val="20"/>
          <w:szCs w:val="20"/>
        </w:rPr>
      </w:pPr>
      <w:r w:rsidRPr="008F4B40">
        <w:rPr>
          <w:rFonts w:ascii="Palatino Linotype" w:hAnsi="Palatino Linotype" w:cs="Times New Roman"/>
          <w:sz w:val="20"/>
          <w:szCs w:val="20"/>
        </w:rPr>
        <w:t xml:space="preserve">For most supernatant samples, HPLC/RI generated identifiable peaks for glycerol, acetic acid and formic acid. However, HPLC/RI signals are affected by disturbances caused by background noise, baseline fluctuation and the presence of trace metabolites. The disturbance can be statistically significant to acid measurements due to the relatively low signal strength of the acid peaks. Though we can roughly evaluate the trend of acid production and the relative quantities of the acids produced, it is difficult to obtain an accurate estimation of the acid concentrations (Figure </w:t>
      </w:r>
      <w:r w:rsidR="00437BC5" w:rsidRPr="008F4B40">
        <w:rPr>
          <w:rFonts w:ascii="Palatino Linotype" w:hAnsi="Palatino Linotype" w:cs="Times New Roman"/>
          <w:sz w:val="20"/>
          <w:szCs w:val="20"/>
        </w:rPr>
        <w:t>2</w:t>
      </w:r>
      <w:r w:rsidRPr="008F4B40">
        <w:rPr>
          <w:rFonts w:ascii="Palatino Linotype" w:hAnsi="Palatino Linotype" w:cs="Times New Roman"/>
          <w:sz w:val="20"/>
          <w:szCs w:val="20"/>
        </w:rPr>
        <w:t xml:space="preserve">). </w:t>
      </w:r>
    </w:p>
    <w:p w:rsidR="008802B1" w:rsidRPr="008F4B40" w:rsidRDefault="008802B1" w:rsidP="008802B1">
      <w:pPr>
        <w:pStyle w:val="ad"/>
        <w:keepNext/>
        <w:spacing w:after="0" w:line="360" w:lineRule="auto"/>
        <w:ind w:left="375"/>
        <w:jc w:val="center"/>
        <w:rPr>
          <w:rFonts w:ascii="Palatino Linotype" w:hAnsi="Palatino Linotype" w:cs="Times New Roman"/>
          <w:sz w:val="20"/>
          <w:szCs w:val="20"/>
        </w:rPr>
      </w:pPr>
      <w:r w:rsidRPr="008F4B40">
        <w:rPr>
          <w:rFonts w:ascii="Palatino Linotype" w:hAnsi="Palatino Linotype" w:cs="Times New Roman"/>
          <w:noProof/>
          <w:sz w:val="20"/>
          <w:szCs w:val="20"/>
        </w:rPr>
        <w:drawing>
          <wp:inline distT="0" distB="0" distL="0" distR="0" wp14:anchorId="4A564D34" wp14:editId="6BDCACDD">
            <wp:extent cx="2592000" cy="2304288"/>
            <wp:effectExtent l="0" t="0" r="18415"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8F4B40">
        <w:rPr>
          <w:rFonts w:ascii="Palatino Linotype" w:hAnsi="Palatino Linotype" w:cs="Times New Roman"/>
          <w:noProof/>
          <w:sz w:val="20"/>
          <w:szCs w:val="20"/>
        </w:rPr>
        <w:drawing>
          <wp:inline distT="0" distB="0" distL="0" distR="0" wp14:anchorId="0BE0867C" wp14:editId="3F94019D">
            <wp:extent cx="2592000" cy="2304000"/>
            <wp:effectExtent l="0" t="0" r="18415"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802B1" w:rsidRPr="008F4B40" w:rsidRDefault="008802B1" w:rsidP="008802B1">
      <w:pPr>
        <w:pStyle w:val="af"/>
        <w:spacing w:after="0"/>
        <w:jc w:val="center"/>
        <w:rPr>
          <w:rFonts w:ascii="Palatino Linotype" w:hAnsi="Palatino Linotype" w:cs="Times New Roman"/>
          <w:b w:val="0"/>
          <w:i/>
          <w:color w:val="auto"/>
          <w:sz w:val="20"/>
          <w:szCs w:val="20"/>
          <w:shd w:val="clear" w:color="auto" w:fill="FFFFFF"/>
        </w:rPr>
      </w:pPr>
      <w:bookmarkStart w:id="35" w:name="_Toc500722196"/>
      <w:r w:rsidRPr="008F4B40">
        <w:rPr>
          <w:rFonts w:ascii="Palatino Linotype" w:hAnsi="Palatino Linotype" w:cs="Times New Roman"/>
          <w:b w:val="0"/>
          <w:color w:val="auto"/>
          <w:sz w:val="20"/>
          <w:szCs w:val="20"/>
        </w:rPr>
        <w:t xml:space="preserve">Figure </w:t>
      </w:r>
      <w:r w:rsidRPr="008F4B40">
        <w:rPr>
          <w:rFonts w:ascii="Palatino Linotype" w:hAnsi="Palatino Linotype" w:cs="Times New Roman"/>
          <w:b w:val="0"/>
          <w:i/>
          <w:color w:val="auto"/>
          <w:sz w:val="20"/>
          <w:szCs w:val="20"/>
        </w:rPr>
        <w:fldChar w:fldCharType="begin"/>
      </w:r>
      <w:r w:rsidRPr="008F4B40">
        <w:rPr>
          <w:rFonts w:ascii="Palatino Linotype" w:hAnsi="Palatino Linotype" w:cs="Times New Roman"/>
          <w:b w:val="0"/>
          <w:color w:val="auto"/>
          <w:sz w:val="20"/>
          <w:szCs w:val="20"/>
        </w:rPr>
        <w:instrText xml:space="preserve"> SEQ Figure \* ARABIC \s 1 </w:instrText>
      </w:r>
      <w:r w:rsidRPr="008F4B40">
        <w:rPr>
          <w:rFonts w:ascii="Palatino Linotype" w:hAnsi="Palatino Linotype" w:cs="Times New Roman"/>
          <w:b w:val="0"/>
          <w:i/>
          <w:color w:val="auto"/>
          <w:sz w:val="20"/>
          <w:szCs w:val="20"/>
        </w:rPr>
        <w:fldChar w:fldCharType="separate"/>
      </w:r>
      <w:r w:rsidR="000C1C45" w:rsidRPr="008F4B40">
        <w:rPr>
          <w:rFonts w:ascii="Palatino Linotype" w:hAnsi="Palatino Linotype" w:cs="Times New Roman"/>
          <w:b w:val="0"/>
          <w:noProof/>
          <w:color w:val="auto"/>
          <w:sz w:val="20"/>
          <w:szCs w:val="20"/>
        </w:rPr>
        <w:t>2</w:t>
      </w:r>
      <w:r w:rsidRPr="008F4B40">
        <w:rPr>
          <w:rFonts w:ascii="Palatino Linotype" w:hAnsi="Palatino Linotype" w:cs="Times New Roman"/>
          <w:b w:val="0"/>
          <w:i/>
          <w:color w:val="auto"/>
          <w:sz w:val="20"/>
          <w:szCs w:val="20"/>
        </w:rPr>
        <w:fldChar w:fldCharType="end"/>
      </w:r>
      <w:r w:rsidRPr="008F4B40">
        <w:rPr>
          <w:rFonts w:ascii="Palatino Linotype" w:hAnsi="Palatino Linotype" w:cs="Times New Roman"/>
          <w:b w:val="0"/>
          <w:color w:val="auto"/>
          <w:sz w:val="20"/>
          <w:szCs w:val="20"/>
        </w:rPr>
        <w:t xml:space="preserve"> </w:t>
      </w:r>
      <w:r w:rsidRPr="008F4B40">
        <w:rPr>
          <w:rFonts w:ascii="Palatino Linotype" w:hAnsi="Palatino Linotype" w:cs="Times New Roman"/>
          <w:b w:val="0"/>
          <w:color w:val="auto"/>
          <w:sz w:val="20"/>
          <w:szCs w:val="20"/>
          <w:shd w:val="clear" w:color="auto" w:fill="FFFFFF"/>
        </w:rPr>
        <w:t xml:space="preserve">– Example: the concentration profiles of both malic and acetic acid from </w:t>
      </w:r>
      <w:bookmarkStart w:id="36" w:name="OLE_LINK88"/>
      <w:bookmarkStart w:id="37" w:name="OLE_LINK89"/>
      <w:r w:rsidRPr="008F4B40">
        <w:rPr>
          <w:rFonts w:ascii="Palatino Linotype" w:hAnsi="Palatino Linotype" w:cs="Times New Roman"/>
          <w:b w:val="0"/>
          <w:color w:val="auto"/>
          <w:sz w:val="20"/>
          <w:szCs w:val="20"/>
          <w:shd w:val="clear" w:color="auto" w:fill="FFFFFF"/>
        </w:rPr>
        <w:t xml:space="preserve">a </w:t>
      </w:r>
      <w:bookmarkStart w:id="38" w:name="OLE_LINK84"/>
      <w:r w:rsidRPr="008F4B40">
        <w:rPr>
          <w:rFonts w:ascii="Palatino Linotype" w:hAnsi="Palatino Linotype" w:cs="Times New Roman"/>
          <w:b w:val="0"/>
          <w:color w:val="auto"/>
          <w:sz w:val="20"/>
          <w:szCs w:val="20"/>
          <w:shd w:val="clear" w:color="auto" w:fill="FFFFFF"/>
        </w:rPr>
        <w:t>batch experiment (initial glycerol concentration: 60 g/l)</w:t>
      </w:r>
      <w:bookmarkEnd w:id="36"/>
      <w:bookmarkEnd w:id="37"/>
      <w:r w:rsidRPr="008F4B40">
        <w:rPr>
          <w:rFonts w:ascii="Palatino Linotype" w:hAnsi="Palatino Linotype" w:cs="Times New Roman"/>
          <w:b w:val="0"/>
          <w:color w:val="auto"/>
          <w:sz w:val="20"/>
          <w:szCs w:val="20"/>
          <w:shd w:val="clear" w:color="auto" w:fill="FFFFFF"/>
        </w:rPr>
        <w:t>. The ratio between the amount of malic acid and acetic acid produced is approximately 3:2 (w/w)</w:t>
      </w:r>
      <w:bookmarkEnd w:id="35"/>
    </w:p>
    <w:p w:rsidR="008802B1" w:rsidRPr="008F4B40" w:rsidRDefault="008802B1" w:rsidP="008802B1">
      <w:pPr>
        <w:spacing w:after="0" w:line="360" w:lineRule="auto"/>
        <w:jc w:val="both"/>
        <w:rPr>
          <w:rFonts w:ascii="Palatino Linotype" w:hAnsi="Palatino Linotype" w:cs="Times New Roman"/>
          <w:i/>
          <w:noProof/>
          <w:sz w:val="20"/>
          <w:szCs w:val="20"/>
          <w:shd w:val="clear" w:color="auto" w:fill="FFFFFF"/>
        </w:rPr>
      </w:pPr>
      <w:r w:rsidRPr="008F4B40">
        <w:rPr>
          <w:rFonts w:ascii="Palatino Linotype" w:hAnsi="Palatino Linotype" w:cs="Times New Roman"/>
          <w:sz w:val="20"/>
          <w:szCs w:val="20"/>
        </w:rPr>
        <w:t xml:space="preserve">On the other hand, it was observed that </w:t>
      </w:r>
      <w:r w:rsidRPr="008F4B40">
        <w:rPr>
          <w:rFonts w:ascii="Palatino Linotype" w:hAnsi="Palatino Linotype" w:cs="Times New Roman"/>
          <w:noProof/>
          <w:sz w:val="20"/>
          <w:szCs w:val="20"/>
          <w:shd w:val="clear" w:color="auto" w:fill="FFFFFF"/>
        </w:rPr>
        <w:t>pH in the culture broth dropped as the fermentation proceeded. This means</w:t>
      </w:r>
      <w:r w:rsidRPr="008F4B40">
        <w:rPr>
          <w:rFonts w:ascii="Palatino Linotype" w:hAnsi="Palatino Linotype" w:cs="Times New Roman"/>
          <w:sz w:val="20"/>
          <w:szCs w:val="20"/>
          <w:shd w:val="clear" w:color="auto" w:fill="FFFFFF"/>
        </w:rPr>
        <w:t xml:space="preserve"> hydronium ion concentration</w:t>
      </w:r>
      <w:r w:rsidRPr="008F4B40">
        <w:rPr>
          <w:rStyle w:val="apple-converted-space"/>
          <w:rFonts w:ascii="Palatino Linotype" w:hAnsi="Palatino Linotype" w:cs="Times New Roman"/>
          <w:sz w:val="20"/>
          <w:szCs w:val="20"/>
          <w:shd w:val="clear" w:color="auto" w:fill="FFFFFF"/>
        </w:rPr>
        <w:t xml:space="preserve"> [H</w:t>
      </w:r>
      <w:r w:rsidRPr="008F4B40">
        <w:rPr>
          <w:rStyle w:val="apple-converted-space"/>
          <w:rFonts w:ascii="Palatino Linotype" w:hAnsi="Palatino Linotype" w:cs="Times New Roman"/>
          <w:sz w:val="20"/>
          <w:szCs w:val="20"/>
          <w:shd w:val="clear" w:color="auto" w:fill="FFFFFF"/>
          <w:vertAlign w:val="subscript"/>
        </w:rPr>
        <w:t>3</w:t>
      </w:r>
      <w:r w:rsidRPr="008F4B40">
        <w:rPr>
          <w:rStyle w:val="apple-converted-space"/>
          <w:rFonts w:ascii="Palatino Linotype" w:hAnsi="Palatino Linotype" w:cs="Times New Roman"/>
          <w:sz w:val="20"/>
          <w:szCs w:val="20"/>
          <w:shd w:val="clear" w:color="auto" w:fill="FFFFFF"/>
        </w:rPr>
        <w:t>O</w:t>
      </w:r>
      <w:r w:rsidRPr="008F4B40">
        <w:rPr>
          <w:rStyle w:val="apple-converted-space"/>
          <w:rFonts w:ascii="Palatino Linotype" w:hAnsi="Palatino Linotype" w:cs="Times New Roman"/>
          <w:sz w:val="20"/>
          <w:szCs w:val="20"/>
          <w:shd w:val="clear" w:color="auto" w:fill="FFFFFF"/>
          <w:vertAlign w:val="superscript"/>
        </w:rPr>
        <w:t>+</w:t>
      </w:r>
      <w:r w:rsidRPr="008F4B40">
        <w:rPr>
          <w:rStyle w:val="apple-converted-space"/>
          <w:rFonts w:ascii="Palatino Linotype" w:hAnsi="Palatino Linotype" w:cs="Times New Roman"/>
          <w:sz w:val="20"/>
          <w:szCs w:val="20"/>
          <w:shd w:val="clear" w:color="auto" w:fill="FFFFFF"/>
        </w:rPr>
        <w:t xml:space="preserve">] resulting from dissolution of the organic acids increased the acidity of the solution. </w:t>
      </w:r>
      <w:r w:rsidRPr="008F4B40">
        <w:rPr>
          <w:rFonts w:ascii="Palatino Linotype" w:hAnsi="Palatino Linotype" w:cs="Times New Roman"/>
          <w:noProof/>
          <w:sz w:val="20"/>
          <w:szCs w:val="20"/>
          <w:shd w:val="clear" w:color="auto" w:fill="FFFFFF"/>
        </w:rPr>
        <w:t xml:space="preserve">Therefore, we can re-estimate the concentrations of the acids from pH measurements. </w:t>
      </w:r>
    </w:p>
    <w:p w:rsidR="008802B1" w:rsidRPr="008F4B40" w:rsidRDefault="008802B1" w:rsidP="008802B1">
      <w:pPr>
        <w:pStyle w:val="4"/>
        <w:spacing w:before="0"/>
        <w:rPr>
          <w:rFonts w:ascii="Palatino Linotype" w:hAnsi="Palatino Linotype" w:cs="Times New Roman"/>
          <w:color w:val="auto"/>
          <w:sz w:val="20"/>
          <w:szCs w:val="20"/>
          <w:shd w:val="clear" w:color="auto" w:fill="FFFFFF"/>
        </w:rPr>
      </w:pPr>
      <w:r w:rsidRPr="008F4B40">
        <w:rPr>
          <w:rFonts w:ascii="Palatino Linotype" w:hAnsi="Palatino Linotype" w:cs="Times New Roman"/>
          <w:color w:val="auto"/>
          <w:sz w:val="20"/>
          <w:szCs w:val="20"/>
          <w:shd w:val="clear" w:color="auto" w:fill="FFFFFF"/>
        </w:rPr>
        <w:t>Estimation of acid concentrations from pH</w:t>
      </w:r>
    </w:p>
    <w:bookmarkEnd w:id="38"/>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The pH decreases if the hydronium </w:t>
      </w:r>
      <w:bookmarkStart w:id="39" w:name="OLE_LINK487"/>
      <w:bookmarkStart w:id="40" w:name="OLE_LINK488"/>
      <w:r w:rsidRPr="008F4B40">
        <w:rPr>
          <w:rFonts w:ascii="Palatino Linotype" w:hAnsi="Palatino Linotype" w:cs="Times New Roman"/>
          <w:sz w:val="20"/>
          <w:szCs w:val="20"/>
          <w:shd w:val="clear" w:color="auto" w:fill="FFFFFF"/>
        </w:rPr>
        <w:t>[H</w:t>
      </w:r>
      <w:r w:rsidRPr="008F4B40">
        <w:rPr>
          <w:rFonts w:ascii="Palatino Linotype" w:hAnsi="Palatino Linotype" w:cs="Times New Roman"/>
          <w:sz w:val="20"/>
          <w:szCs w:val="20"/>
          <w:shd w:val="clear" w:color="auto" w:fill="FFFFFF"/>
          <w:vertAlign w:val="subscript"/>
        </w:rPr>
        <w:t>3</w:t>
      </w:r>
      <w:r w:rsidRPr="008F4B40">
        <w:rPr>
          <w:rFonts w:ascii="Palatino Linotype" w:hAnsi="Palatino Linotype" w:cs="Times New Roman"/>
          <w:sz w:val="20"/>
          <w:szCs w:val="20"/>
          <w:shd w:val="clear" w:color="auto" w:fill="FFFFFF"/>
        </w:rPr>
        <w:t>O</w:t>
      </w:r>
      <w:r w:rsidRPr="008F4B40">
        <w:rPr>
          <w:rFonts w:ascii="Palatino Linotype" w:hAnsi="Palatino Linotype" w:cs="Times New Roman"/>
          <w:sz w:val="20"/>
          <w:szCs w:val="20"/>
          <w:shd w:val="clear" w:color="auto" w:fill="FFFFFF"/>
          <w:vertAlign w:val="superscript"/>
        </w:rPr>
        <w:t>+</w:t>
      </w:r>
      <w:r w:rsidRPr="008F4B40">
        <w:rPr>
          <w:rFonts w:ascii="Palatino Linotype" w:hAnsi="Palatino Linotype" w:cs="Times New Roman"/>
          <w:sz w:val="20"/>
          <w:szCs w:val="20"/>
          <w:shd w:val="clear" w:color="auto" w:fill="FFFFFF"/>
        </w:rPr>
        <w:t>]</w:t>
      </w:r>
      <w:bookmarkEnd w:id="39"/>
      <w:bookmarkEnd w:id="40"/>
      <w:r w:rsidRPr="008F4B40">
        <w:rPr>
          <w:rFonts w:ascii="Palatino Linotype" w:hAnsi="Palatino Linotype" w:cs="Times New Roman"/>
          <w:sz w:val="20"/>
          <w:szCs w:val="20"/>
          <w:shd w:val="clear" w:color="auto" w:fill="FFFFFF"/>
        </w:rPr>
        <w:t xml:space="preserve"> concentration increases. In our case, the increase in [H</w:t>
      </w:r>
      <w:r w:rsidRPr="008F4B40">
        <w:rPr>
          <w:rFonts w:ascii="Palatino Linotype" w:hAnsi="Palatino Linotype" w:cs="Times New Roman"/>
          <w:sz w:val="20"/>
          <w:szCs w:val="20"/>
          <w:shd w:val="clear" w:color="auto" w:fill="FFFFFF"/>
          <w:vertAlign w:val="subscript"/>
        </w:rPr>
        <w:t>3</w:t>
      </w:r>
      <w:r w:rsidRPr="008F4B40">
        <w:rPr>
          <w:rFonts w:ascii="Palatino Linotype" w:hAnsi="Palatino Linotype" w:cs="Times New Roman"/>
          <w:sz w:val="20"/>
          <w:szCs w:val="20"/>
          <w:shd w:val="clear" w:color="auto" w:fill="FFFFFF"/>
        </w:rPr>
        <w:t>O</w:t>
      </w:r>
      <w:r w:rsidRPr="008F4B40">
        <w:rPr>
          <w:rFonts w:ascii="Palatino Linotype" w:hAnsi="Palatino Linotype" w:cs="Times New Roman"/>
          <w:sz w:val="20"/>
          <w:szCs w:val="20"/>
          <w:shd w:val="clear" w:color="auto" w:fill="FFFFFF"/>
          <w:vertAlign w:val="superscript"/>
        </w:rPr>
        <w:t>+</w:t>
      </w:r>
      <w:r w:rsidRPr="008F4B40">
        <w:rPr>
          <w:rFonts w:ascii="Palatino Linotype" w:hAnsi="Palatino Linotype" w:cs="Times New Roman"/>
          <w:sz w:val="20"/>
          <w:szCs w:val="20"/>
          <w:shd w:val="clear" w:color="auto" w:fill="FFFFFF"/>
        </w:rPr>
        <w:t xml:space="preserve">] is not only due to organic acid </w:t>
      </w:r>
      <w:r w:rsidRPr="008F4B40">
        <w:rPr>
          <w:rFonts w:ascii="Palatino Linotype" w:hAnsi="Palatino Linotype" w:cs="Times New Roman"/>
          <w:noProof/>
          <w:sz w:val="20"/>
          <w:szCs w:val="20"/>
          <w:shd w:val="clear" w:color="auto" w:fill="FFFFFF"/>
        </w:rPr>
        <w:t>production,</w:t>
      </w:r>
      <w:r w:rsidRPr="008F4B40">
        <w:rPr>
          <w:rFonts w:ascii="Palatino Linotype" w:hAnsi="Palatino Linotype" w:cs="Times New Roman"/>
          <w:sz w:val="20"/>
          <w:szCs w:val="20"/>
          <w:shd w:val="clear" w:color="auto" w:fill="FFFFFF"/>
          <w:vertAlign w:val="subscript"/>
        </w:rPr>
        <w:t xml:space="preserve"> </w:t>
      </w:r>
      <w:r w:rsidRPr="008F4B40">
        <w:rPr>
          <w:rFonts w:ascii="Palatino Linotype" w:hAnsi="Palatino Linotype" w:cs="Times New Roman"/>
          <w:sz w:val="20"/>
          <w:szCs w:val="20"/>
          <w:shd w:val="clear" w:color="auto" w:fill="FFFFFF"/>
        </w:rPr>
        <w:t xml:space="preserve">but also due to </w:t>
      </w:r>
      <w:r w:rsidRPr="008F4B40">
        <w:rPr>
          <w:rFonts w:ascii="Palatino Linotype" w:hAnsi="Palatino Linotype" w:cs="Times New Roman"/>
          <w:noProof/>
          <w:sz w:val="20"/>
          <w:szCs w:val="20"/>
          <w:shd w:val="clear" w:color="auto" w:fill="FFFFFF"/>
        </w:rPr>
        <w:t>formation</w:t>
      </w:r>
      <w:r w:rsidRPr="008F4B40">
        <w:rPr>
          <w:rFonts w:ascii="Palatino Linotype" w:hAnsi="Palatino Linotype" w:cs="Times New Roman"/>
          <w:sz w:val="20"/>
          <w:szCs w:val="20"/>
          <w:shd w:val="clear" w:color="auto" w:fill="FFFFFF"/>
        </w:rPr>
        <w:t xml:space="preserve"> of sulphuric acid resulting from the consumption of ammonia sulphate (NH</w:t>
      </w:r>
      <w:r w:rsidRPr="008F4B40">
        <w:rPr>
          <w:rFonts w:ascii="Palatino Linotype" w:hAnsi="Palatino Linotype" w:cs="Times New Roman"/>
          <w:sz w:val="20"/>
          <w:szCs w:val="20"/>
          <w:shd w:val="clear" w:color="auto" w:fill="FFFFFF"/>
          <w:vertAlign w:val="subscript"/>
        </w:rPr>
        <w:t>4</w:t>
      </w:r>
      <w:r w:rsidRPr="008F4B40">
        <w:rPr>
          <w:rFonts w:ascii="Palatino Linotype" w:hAnsi="Palatino Linotype" w:cs="Times New Roman"/>
          <w:sz w:val="20"/>
          <w:szCs w:val="20"/>
          <w:shd w:val="clear" w:color="auto" w:fill="FFFFFF"/>
        </w:rPr>
        <w:t>)</w:t>
      </w:r>
      <w:r w:rsidRPr="008F4B40">
        <w:rPr>
          <w:rFonts w:ascii="Palatino Linotype" w:hAnsi="Palatino Linotype" w:cs="Times New Roman"/>
          <w:sz w:val="20"/>
          <w:szCs w:val="20"/>
          <w:shd w:val="clear" w:color="auto" w:fill="FFFFFF"/>
          <w:vertAlign w:val="subscript"/>
        </w:rPr>
        <w:t>2</w:t>
      </w:r>
      <w:r w:rsidRPr="008F4B40">
        <w:rPr>
          <w:rFonts w:ascii="Palatino Linotype" w:hAnsi="Palatino Linotype" w:cs="Times New Roman"/>
          <w:sz w:val="20"/>
          <w:szCs w:val="20"/>
          <w:shd w:val="clear" w:color="auto" w:fill="FFFFFF"/>
        </w:rPr>
        <w:t>SO</w:t>
      </w:r>
      <w:r w:rsidRPr="008F4B40">
        <w:rPr>
          <w:rFonts w:ascii="Palatino Linotype" w:hAnsi="Palatino Linotype" w:cs="Times New Roman"/>
          <w:sz w:val="20"/>
          <w:szCs w:val="20"/>
          <w:shd w:val="clear" w:color="auto" w:fill="FFFFFF"/>
          <w:vertAlign w:val="subscript"/>
        </w:rPr>
        <w:t>4</w:t>
      </w:r>
      <w:r w:rsidRPr="008F4B40">
        <w:rPr>
          <w:rFonts w:ascii="Palatino Linotype" w:hAnsi="Palatino Linotype" w:cs="Times New Roman"/>
          <w:sz w:val="20"/>
          <w:szCs w:val="20"/>
          <w:shd w:val="clear" w:color="auto" w:fill="FFFFFF"/>
        </w:rPr>
        <w:t xml:space="preserve"> during cell growth:</w:t>
      </w:r>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33302D" w:rsidP="008802B1">
            <w:pPr>
              <w:autoSpaceDE w:val="0"/>
              <w:autoSpaceDN w:val="0"/>
              <w:adjustRightInd w:val="0"/>
              <w:spacing w:after="0" w:line="360" w:lineRule="auto"/>
              <w:jc w:val="both"/>
              <w:rPr>
                <w:rFonts w:ascii="Palatino Linotype" w:hAnsi="Palatino Linotype" w:cs="Times New Roman"/>
                <w:b/>
                <w:i/>
                <w:sz w:val="20"/>
                <w:szCs w:val="20"/>
                <w:shd w:val="clear" w:color="auto" w:fill="FFFFFF"/>
              </w:rPr>
            </w:pPr>
            <m:oMathPara>
              <m:oMath>
                <m:sSub>
                  <m:sSubPr>
                    <m:ctrlPr>
                      <w:rPr>
                        <w:rFonts w:ascii="Cambria Math" w:hAnsi="Cambria Math" w:cs="Times New Roman"/>
                        <w:sz w:val="20"/>
                        <w:szCs w:val="20"/>
                        <w:shd w:val="clear" w:color="auto" w:fill="FFFFFF"/>
                      </w:rPr>
                    </m:ctrlPr>
                  </m:sSubPr>
                  <m:e>
                    <m:d>
                      <m:dPr>
                        <m:ctrlPr>
                          <w:rPr>
                            <w:rFonts w:ascii="Cambria Math" w:hAnsi="Cambria Math" w:cs="Times New Roman"/>
                            <w:sz w:val="20"/>
                            <w:szCs w:val="20"/>
                            <w:shd w:val="clear" w:color="auto" w:fill="FFFFFF"/>
                          </w:rPr>
                        </m:ctrlPr>
                      </m:dPr>
                      <m:e>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NH</m:t>
                            </m:r>
                          </m:e>
                          <m:sub>
                            <m:r>
                              <w:rPr>
                                <w:rFonts w:ascii="Cambria Math" w:hAnsi="Cambria Math" w:cs="Times New Roman"/>
                                <w:sz w:val="20"/>
                                <w:szCs w:val="20"/>
                                <w:shd w:val="clear" w:color="auto" w:fill="FFFFFF"/>
                              </w:rPr>
                              <m:t>4</m:t>
                            </m:r>
                          </m:sub>
                        </m:sSub>
                      </m:e>
                    </m:d>
                  </m:e>
                  <m:sub>
                    <m:r>
                      <w:rPr>
                        <w:rFonts w:ascii="Cambria Math" w:hAnsi="Cambria Math" w:cs="Times New Roman"/>
                        <w:sz w:val="20"/>
                        <w:szCs w:val="20"/>
                        <w:shd w:val="clear" w:color="auto" w:fill="FFFFFF"/>
                      </w:rPr>
                      <m:t>2</m:t>
                    </m:r>
                  </m:sub>
                </m:sSub>
                <m:r>
                  <w:rPr>
                    <w:rFonts w:ascii="Cambria Math" w:hAnsi="Cambria Math" w:cs="Times New Roman"/>
                    <w:sz w:val="20"/>
                    <w:szCs w:val="20"/>
                    <w:shd w:val="clear" w:color="auto" w:fill="FFFFFF"/>
                  </w:rPr>
                  <m:t>S</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O</m:t>
                    </m:r>
                  </m:e>
                  <m:sub>
                    <m:r>
                      <w:rPr>
                        <w:rFonts w:ascii="Cambria Math" w:hAnsi="Cambria Math" w:cs="Times New Roman"/>
                        <w:sz w:val="20"/>
                        <w:szCs w:val="20"/>
                        <w:shd w:val="clear" w:color="auto" w:fill="FFFFFF"/>
                      </w:rPr>
                      <m:t>4</m:t>
                    </m:r>
                  </m:sub>
                </m:sSub>
                <m:r>
                  <w:rPr>
                    <w:rFonts w:ascii="Cambria Math" w:hAnsi="Cambria Math" w:cs="Times New Roman"/>
                    <w:sz w:val="20"/>
                    <w:szCs w:val="20"/>
                    <w:shd w:val="clear" w:color="auto" w:fill="FFFFFF"/>
                  </w:rPr>
                  <m:t>→2</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NH</m:t>
                    </m:r>
                  </m:e>
                  <m:sub>
                    <m:r>
                      <w:rPr>
                        <w:rFonts w:ascii="Cambria Math" w:hAnsi="Cambria Math" w:cs="Times New Roman"/>
                        <w:sz w:val="20"/>
                        <w:szCs w:val="20"/>
                        <w:shd w:val="clear" w:color="auto" w:fill="FFFFFF"/>
                      </w:rPr>
                      <m:t>3</m:t>
                    </m:r>
                  </m:sub>
                </m:sSub>
                <m:r>
                  <w:rPr>
                    <w:rFonts w:ascii="Cambria Math" w:hAnsi="Cambria Math" w:cs="Times New Roman"/>
                    <w:sz w:val="20"/>
                    <w:szCs w:val="20"/>
                    <w:shd w:val="clear" w:color="auto" w:fill="FFFFFF"/>
                  </w:rPr>
                  <m:t>+</m:t>
                </m:r>
                <m:sSub>
                  <m:sSubPr>
                    <m:ctrlPr>
                      <w:rPr>
                        <w:rFonts w:ascii="Cambria Math" w:hAnsi="Cambria Math" w:cs="Times New Roman"/>
                        <w:b/>
                        <w:sz w:val="20"/>
                        <w:szCs w:val="20"/>
                        <w:shd w:val="clear" w:color="auto" w:fill="FFFFFF"/>
                      </w:rPr>
                    </m:ctrlPr>
                  </m:sSubPr>
                  <m:e>
                    <m:r>
                      <m:rPr>
                        <m:sty m:val="bi"/>
                      </m:rPr>
                      <w:rPr>
                        <w:rFonts w:ascii="Cambria Math" w:hAnsi="Cambria Math" w:cs="Times New Roman"/>
                        <w:sz w:val="20"/>
                        <w:szCs w:val="20"/>
                        <w:shd w:val="clear" w:color="auto" w:fill="FFFFFF"/>
                      </w:rPr>
                      <m:t>H</m:t>
                    </m:r>
                  </m:e>
                  <m:sub>
                    <m:r>
                      <m:rPr>
                        <m:sty m:val="bi"/>
                      </m:rPr>
                      <w:rPr>
                        <w:rFonts w:ascii="Cambria Math" w:hAnsi="Cambria Math" w:cs="Times New Roman"/>
                        <w:sz w:val="20"/>
                        <w:szCs w:val="20"/>
                        <w:shd w:val="clear" w:color="auto" w:fill="FFFFFF"/>
                      </w:rPr>
                      <m:t>2</m:t>
                    </m:r>
                  </m:sub>
                </m:sSub>
                <m:sSub>
                  <m:sSubPr>
                    <m:ctrlPr>
                      <w:rPr>
                        <w:rFonts w:ascii="Cambria Math" w:hAnsi="Cambria Math" w:cs="Times New Roman"/>
                        <w:b/>
                        <w:sz w:val="20"/>
                        <w:szCs w:val="20"/>
                        <w:shd w:val="clear" w:color="auto" w:fill="FFFFFF"/>
                      </w:rPr>
                    </m:ctrlPr>
                  </m:sSubPr>
                  <m:e>
                    <m:r>
                      <m:rPr>
                        <m:sty m:val="bi"/>
                      </m:rPr>
                      <w:rPr>
                        <w:rFonts w:ascii="Cambria Math" w:hAnsi="Cambria Math" w:cs="Times New Roman"/>
                        <w:sz w:val="20"/>
                        <w:szCs w:val="20"/>
                        <w:shd w:val="clear" w:color="auto" w:fill="FFFFFF"/>
                      </w:rPr>
                      <m:t>SO</m:t>
                    </m:r>
                  </m:e>
                  <m:sub>
                    <m:r>
                      <m:rPr>
                        <m:sty m:val="bi"/>
                      </m:rPr>
                      <w:rPr>
                        <w:rFonts w:ascii="Cambria Math" w:hAnsi="Cambria Math" w:cs="Times New Roman"/>
                        <w:sz w:val="20"/>
                        <w:szCs w:val="20"/>
                        <w:shd w:val="clear" w:color="auto" w:fill="FFFFFF"/>
                      </w:rPr>
                      <m:t>4</m:t>
                    </m:r>
                  </m:sub>
                </m:sSub>
              </m:oMath>
            </m:oMathPara>
          </w:p>
        </w:tc>
        <w:tc>
          <w:tcPr>
            <w:tcW w:w="819" w:type="pct"/>
            <w:vAlign w:val="center"/>
          </w:tcPr>
          <w:p w:rsidR="008802B1" w:rsidRPr="008F4B40" w:rsidRDefault="000C1C45"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9</w:t>
            </w:r>
          </w:p>
        </w:tc>
      </w:tr>
    </w:tbl>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Therefore, the net amount of hydrogen ions generated due to nitrogen assimilation </w:t>
      </w:r>
      <w:r w:rsidRPr="008F4B40">
        <w:rPr>
          <w:rStyle w:val="apple-converted-space"/>
          <w:rFonts w:ascii="Palatino Linotype" w:hAnsi="Palatino Linotype" w:cs="Times New Roman"/>
          <w:sz w:val="20"/>
          <w:szCs w:val="20"/>
          <w:shd w:val="clear" w:color="auto" w:fill="FFFFFF"/>
        </w:rPr>
        <w:t>[H</w:t>
      </w:r>
      <w:r w:rsidRPr="008F4B40">
        <w:rPr>
          <w:rStyle w:val="apple-converted-space"/>
          <w:rFonts w:ascii="Palatino Linotype" w:hAnsi="Palatino Linotype" w:cs="Times New Roman"/>
          <w:sz w:val="20"/>
          <w:szCs w:val="20"/>
          <w:shd w:val="clear" w:color="auto" w:fill="FFFFFF"/>
          <w:vertAlign w:val="subscript"/>
        </w:rPr>
        <w:t>3</w:t>
      </w:r>
      <w:r w:rsidRPr="008F4B40">
        <w:rPr>
          <w:rStyle w:val="apple-converted-space"/>
          <w:rFonts w:ascii="Palatino Linotype" w:hAnsi="Palatino Linotype" w:cs="Times New Roman"/>
          <w:sz w:val="20"/>
          <w:szCs w:val="20"/>
          <w:shd w:val="clear" w:color="auto" w:fill="FFFFFF"/>
        </w:rPr>
        <w:t>O</w:t>
      </w:r>
      <w:r w:rsidRPr="008F4B40">
        <w:rPr>
          <w:rStyle w:val="apple-converted-space"/>
          <w:rFonts w:ascii="Palatino Linotype" w:hAnsi="Palatino Linotype" w:cs="Times New Roman"/>
          <w:sz w:val="20"/>
          <w:szCs w:val="20"/>
          <w:shd w:val="clear" w:color="auto" w:fill="FFFFFF"/>
          <w:vertAlign w:val="superscript"/>
        </w:rPr>
        <w:t>+</w:t>
      </w:r>
      <w:r w:rsidRPr="008F4B40">
        <w:rPr>
          <w:rStyle w:val="apple-converted-space"/>
          <w:rFonts w:ascii="Palatino Linotype" w:hAnsi="Palatino Linotype" w:cs="Times New Roman"/>
          <w:sz w:val="20"/>
          <w:szCs w:val="20"/>
          <w:shd w:val="clear" w:color="auto" w:fill="FFFFFF"/>
        </w:rPr>
        <w:t>]</w:t>
      </w:r>
      <w:r w:rsidRPr="008F4B40">
        <w:rPr>
          <w:rStyle w:val="apple-converted-space"/>
          <w:rFonts w:ascii="Palatino Linotype" w:hAnsi="Palatino Linotype" w:cs="Times New Roman"/>
          <w:sz w:val="20"/>
          <w:szCs w:val="20"/>
          <w:shd w:val="clear" w:color="auto" w:fill="FFFFFF"/>
          <w:vertAlign w:val="subscript"/>
        </w:rPr>
        <w:t>N</w:t>
      </w:r>
      <w:r w:rsidRPr="008F4B40">
        <w:rPr>
          <w:rStyle w:val="apple-converted-space"/>
          <w:rFonts w:ascii="Palatino Linotype" w:hAnsi="Palatino Linotype" w:cs="Times New Roman"/>
          <w:sz w:val="20"/>
          <w:szCs w:val="20"/>
          <w:shd w:val="clear" w:color="auto" w:fill="FFFFFF"/>
        </w:rPr>
        <w:t xml:space="preserve"> (in </w:t>
      </w:r>
      <w:r w:rsidRPr="008F4B40">
        <w:rPr>
          <w:rStyle w:val="apple-converted-space"/>
          <w:rFonts w:ascii="Palatino Linotype" w:hAnsi="Palatino Linotype" w:cs="Times New Roman"/>
          <w:b/>
          <w:sz w:val="20"/>
          <w:szCs w:val="20"/>
          <w:shd w:val="clear" w:color="auto" w:fill="FFFFFF"/>
        </w:rPr>
        <w:t>M</w:t>
      </w:r>
      <w:r w:rsidRPr="008F4B40">
        <w:rPr>
          <w:rStyle w:val="apple-converted-space"/>
          <w:rFonts w:ascii="Palatino Linotype" w:hAnsi="Palatino Linotype" w:cs="Times New Roman"/>
          <w:sz w:val="20"/>
          <w:szCs w:val="20"/>
          <w:shd w:val="clear" w:color="auto" w:fill="FFFFFF"/>
        </w:rPr>
        <w:t xml:space="preserve">) </w:t>
      </w:r>
      <w:r w:rsidRPr="008F4B40">
        <w:rPr>
          <w:rFonts w:ascii="Palatino Linotype" w:hAnsi="Palatino Linotype" w:cs="Times New Roman"/>
          <w:sz w:val="20"/>
          <w:szCs w:val="20"/>
          <w:shd w:val="clear" w:color="auto" w:fill="FFFFFF"/>
        </w:rPr>
        <w:t>is:</w:t>
      </w:r>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8802B1" w:rsidP="008802B1">
            <w:pPr>
              <w:autoSpaceDE w:val="0"/>
              <w:autoSpaceDN w:val="0"/>
              <w:adjustRightInd w:val="0"/>
              <w:spacing w:after="0" w:line="360" w:lineRule="auto"/>
              <w:jc w:val="both"/>
              <w:rPr>
                <w:rFonts w:ascii="Palatino Linotype" w:hAnsi="Palatino Linotype" w:cs="Times New Roman"/>
                <w:i/>
                <w:noProof/>
                <w:sz w:val="20"/>
                <w:szCs w:val="20"/>
                <w:shd w:val="clear" w:color="auto" w:fill="FFFFFF"/>
              </w:rPr>
            </w:pPr>
            <m:oMathPara>
              <m:oMath>
                <m:r>
                  <w:rPr>
                    <w:rFonts w:ascii="Cambria Math" w:hAnsi="Cambria Math" w:cs="Times New Roman"/>
                    <w:noProof/>
                    <w:sz w:val="20"/>
                    <w:szCs w:val="20"/>
                    <w:shd w:val="clear" w:color="auto" w:fill="FFFFFF"/>
                  </w:rPr>
                  <m:t>∆</m:t>
                </m:r>
                <m:sSub>
                  <m:sSubPr>
                    <m:ctrlPr>
                      <w:rPr>
                        <w:rFonts w:ascii="Cambria Math" w:hAnsi="Cambria Math" w:cs="Times New Roman"/>
                        <w:noProof/>
                        <w:sz w:val="20"/>
                        <w:szCs w:val="20"/>
                        <w:shd w:val="clear" w:color="auto" w:fill="FFFFFF"/>
                      </w:rPr>
                    </m:ctrlPr>
                  </m:sSubPr>
                  <m:e>
                    <m:d>
                      <m:dPr>
                        <m:begChr m:val="["/>
                        <m:endChr m:val="]"/>
                        <m:ctrlPr>
                          <w:rPr>
                            <w:rFonts w:ascii="Cambria Math" w:hAnsi="Cambria Math" w:cs="Times New Roman"/>
                            <w:noProof/>
                            <w:sz w:val="20"/>
                            <w:szCs w:val="20"/>
                            <w:shd w:val="clear" w:color="auto" w:fill="FFFFFF"/>
                          </w:rPr>
                        </m:ctrlPr>
                      </m:dPr>
                      <m:e>
                        <m:sSup>
                          <m:sSupPr>
                            <m:ctrlPr>
                              <w:rPr>
                                <w:rFonts w:ascii="Cambria Math" w:hAnsi="Cambria Math" w:cs="Times New Roman"/>
                                <w:noProof/>
                                <w:sz w:val="20"/>
                                <w:szCs w:val="20"/>
                                <w:shd w:val="clear" w:color="auto" w:fill="FFFFFF"/>
                              </w:rPr>
                            </m:ctrlPr>
                          </m:sSupPr>
                          <m:e>
                            <m:sSub>
                              <m:sSubPr>
                                <m:ctrlPr>
                                  <w:rPr>
                                    <w:rFonts w:ascii="Cambria Math" w:hAnsi="Cambria Math" w:cs="Times New Roman"/>
                                    <w:noProof/>
                                    <w:sz w:val="20"/>
                                    <w:szCs w:val="20"/>
                                    <w:shd w:val="clear" w:color="auto" w:fill="FFFFFF"/>
                                  </w:rPr>
                                </m:ctrlPr>
                              </m:sSubPr>
                              <m:e>
                                <m:r>
                                  <w:rPr>
                                    <w:rFonts w:ascii="Cambria Math" w:hAnsi="Cambria Math" w:cs="Times New Roman"/>
                                    <w:noProof/>
                                    <w:sz w:val="20"/>
                                    <w:szCs w:val="20"/>
                                    <w:shd w:val="clear" w:color="auto" w:fill="FFFFFF"/>
                                  </w:rPr>
                                  <m:t>H</m:t>
                                </m:r>
                              </m:e>
                              <m:sub>
                                <m:r>
                                  <w:rPr>
                                    <w:rFonts w:ascii="Cambria Math" w:hAnsi="Cambria Math" w:cs="Times New Roman"/>
                                    <w:noProof/>
                                    <w:sz w:val="20"/>
                                    <w:szCs w:val="20"/>
                                    <w:shd w:val="clear" w:color="auto" w:fill="FFFFFF"/>
                                  </w:rPr>
                                  <m:t>3</m:t>
                                </m:r>
                              </m:sub>
                            </m:sSub>
                            <m:r>
                              <w:rPr>
                                <w:rFonts w:ascii="Cambria Math" w:hAnsi="Cambria Math" w:cs="Times New Roman"/>
                                <w:noProof/>
                                <w:sz w:val="20"/>
                                <w:szCs w:val="20"/>
                                <w:shd w:val="clear" w:color="auto" w:fill="FFFFFF"/>
                              </w:rPr>
                              <m:t>O</m:t>
                            </m:r>
                          </m:e>
                          <m:sup>
                            <m:r>
                              <w:rPr>
                                <w:rFonts w:ascii="Cambria Math" w:hAnsi="Cambria Math" w:cs="Times New Roman"/>
                                <w:noProof/>
                                <w:sz w:val="20"/>
                                <w:szCs w:val="20"/>
                                <w:shd w:val="clear" w:color="auto" w:fill="FFFFFF"/>
                              </w:rPr>
                              <m:t>+</m:t>
                            </m:r>
                          </m:sup>
                        </m:sSup>
                      </m:e>
                    </m:d>
                  </m:e>
                  <m:sub>
                    <m:r>
                      <w:rPr>
                        <w:rFonts w:ascii="Cambria Math" w:hAnsi="Cambria Math" w:cs="Times New Roman"/>
                        <w:noProof/>
                        <w:sz w:val="20"/>
                        <w:szCs w:val="20"/>
                        <w:shd w:val="clear" w:color="auto" w:fill="FFFFFF"/>
                      </w:rPr>
                      <m:t>N</m:t>
                    </m:r>
                  </m:sub>
                </m:sSub>
                <m:r>
                  <w:rPr>
                    <w:rFonts w:ascii="Cambria Math" w:hAnsi="Cambria Math" w:cs="Times New Roman"/>
                    <w:noProof/>
                    <w:sz w:val="20"/>
                    <w:szCs w:val="20"/>
                    <w:shd w:val="clear" w:color="auto" w:fill="FFFFFF"/>
                  </w:rPr>
                  <m:t>=</m:t>
                </m:r>
                <m:f>
                  <m:fPr>
                    <m:ctrlPr>
                      <w:rPr>
                        <w:rFonts w:ascii="Cambria Math" w:hAnsi="Cambria Math" w:cs="Times New Roman"/>
                        <w:noProof/>
                        <w:sz w:val="20"/>
                        <w:szCs w:val="20"/>
                        <w:shd w:val="clear" w:color="auto" w:fill="FFFFFF"/>
                      </w:rPr>
                    </m:ctrlPr>
                  </m:fPr>
                  <m:num>
                    <m:r>
                      <w:rPr>
                        <w:rFonts w:ascii="Cambria Math" w:hAnsi="Cambria Math" w:cs="Times New Roman"/>
                        <w:noProof/>
                        <w:sz w:val="20"/>
                        <w:szCs w:val="20"/>
                        <w:shd w:val="clear" w:color="auto" w:fill="FFFFFF"/>
                      </w:rPr>
                      <m:t>(</m:t>
                    </m:r>
                    <m:sSub>
                      <m:sSubPr>
                        <m:ctrlPr>
                          <w:rPr>
                            <w:rFonts w:ascii="Cambria Math" w:hAnsi="Cambria Math" w:cs="Times New Roman"/>
                            <w:noProof/>
                            <w:sz w:val="20"/>
                            <w:szCs w:val="20"/>
                            <w:shd w:val="clear" w:color="auto" w:fill="FFFFFF"/>
                          </w:rPr>
                        </m:ctrlPr>
                      </m:sSubPr>
                      <m:e>
                        <m:r>
                          <w:rPr>
                            <w:rFonts w:ascii="Cambria Math" w:hAnsi="Cambria Math" w:cs="Times New Roman"/>
                            <w:noProof/>
                            <w:sz w:val="20"/>
                            <w:szCs w:val="20"/>
                            <w:shd w:val="clear" w:color="auto" w:fill="FFFFFF"/>
                          </w:rPr>
                          <m:t>C</m:t>
                        </m:r>
                      </m:e>
                      <m:sub>
                        <m:r>
                          <w:rPr>
                            <w:rFonts w:ascii="Cambria Math" w:hAnsi="Cambria Math" w:cs="Times New Roman"/>
                            <w:noProof/>
                            <w:sz w:val="20"/>
                            <w:szCs w:val="20"/>
                            <w:shd w:val="clear" w:color="auto" w:fill="FFFFFF"/>
                          </w:rPr>
                          <m:t>N,initial</m:t>
                        </m:r>
                      </m:sub>
                    </m:sSub>
                    <m:r>
                      <w:rPr>
                        <w:rFonts w:ascii="Cambria Math" w:hAnsi="Cambria Math" w:cs="Times New Roman"/>
                        <w:noProof/>
                        <w:sz w:val="20"/>
                        <w:szCs w:val="20"/>
                        <w:shd w:val="clear" w:color="auto" w:fill="FFFFFF"/>
                      </w:rPr>
                      <m:t>-</m:t>
                    </m:r>
                    <m:sSub>
                      <m:sSubPr>
                        <m:ctrlPr>
                          <w:rPr>
                            <w:rFonts w:ascii="Cambria Math" w:hAnsi="Cambria Math" w:cs="Times New Roman"/>
                            <w:noProof/>
                            <w:sz w:val="20"/>
                            <w:szCs w:val="20"/>
                            <w:shd w:val="clear" w:color="auto" w:fill="FFFFFF"/>
                          </w:rPr>
                        </m:ctrlPr>
                      </m:sSubPr>
                      <m:e>
                        <m:r>
                          <w:rPr>
                            <w:rFonts w:ascii="Cambria Math" w:hAnsi="Cambria Math" w:cs="Times New Roman"/>
                            <w:noProof/>
                            <w:sz w:val="20"/>
                            <w:szCs w:val="20"/>
                            <w:shd w:val="clear" w:color="auto" w:fill="FFFFFF"/>
                          </w:rPr>
                          <m:t>C</m:t>
                        </m:r>
                      </m:e>
                      <m:sub>
                        <m:r>
                          <w:rPr>
                            <w:rFonts w:ascii="Cambria Math" w:hAnsi="Cambria Math" w:cs="Times New Roman"/>
                            <w:noProof/>
                            <w:sz w:val="20"/>
                            <w:szCs w:val="20"/>
                            <w:shd w:val="clear" w:color="auto" w:fill="FFFFFF"/>
                          </w:rPr>
                          <m:t>N</m:t>
                        </m:r>
                      </m:sub>
                    </m:sSub>
                    <m:r>
                      <w:rPr>
                        <w:rFonts w:ascii="Cambria Math" w:hAnsi="Cambria Math" w:cs="Times New Roman"/>
                        <w:noProof/>
                        <w:sz w:val="20"/>
                        <w:szCs w:val="20"/>
                        <w:shd w:val="clear" w:color="auto" w:fill="FFFFFF"/>
                      </w:rPr>
                      <m:t>)</m:t>
                    </m:r>
                  </m:num>
                  <m:den>
                    <m:r>
                      <w:rPr>
                        <w:rFonts w:ascii="Cambria Math" w:hAnsi="Cambria Math" w:cs="Times New Roman"/>
                        <w:noProof/>
                        <w:sz w:val="20"/>
                        <w:szCs w:val="20"/>
                        <w:shd w:val="clear" w:color="auto" w:fill="FFFFFF"/>
                      </w:rPr>
                      <m:t>14(</m:t>
                    </m:r>
                    <m:f>
                      <m:fPr>
                        <m:ctrlPr>
                          <w:rPr>
                            <w:rFonts w:ascii="Cambria Math" w:hAnsi="Cambria Math" w:cs="Times New Roman"/>
                            <w:noProof/>
                            <w:sz w:val="20"/>
                            <w:szCs w:val="20"/>
                            <w:shd w:val="clear" w:color="auto" w:fill="FFFFFF"/>
                          </w:rPr>
                        </m:ctrlPr>
                      </m:fPr>
                      <m:num>
                        <m:r>
                          <w:rPr>
                            <w:rFonts w:ascii="Cambria Math" w:hAnsi="Cambria Math" w:cs="Times New Roman"/>
                            <w:noProof/>
                            <w:sz w:val="20"/>
                            <w:szCs w:val="20"/>
                            <w:shd w:val="clear" w:color="auto" w:fill="FFFFFF"/>
                          </w:rPr>
                          <m:t>g</m:t>
                        </m:r>
                      </m:num>
                      <m:den>
                        <m:r>
                          <w:rPr>
                            <w:rFonts w:ascii="Cambria Math" w:hAnsi="Cambria Math" w:cs="Times New Roman"/>
                            <w:noProof/>
                            <w:sz w:val="20"/>
                            <w:szCs w:val="20"/>
                            <w:shd w:val="clear" w:color="auto" w:fill="FFFFFF"/>
                          </w:rPr>
                          <m:t>mol</m:t>
                        </m:r>
                      </m:den>
                    </m:f>
                    <m:r>
                      <w:rPr>
                        <w:rFonts w:ascii="Cambria Math" w:hAnsi="Cambria Math" w:cs="Times New Roman"/>
                        <w:noProof/>
                        <w:sz w:val="20"/>
                        <w:szCs w:val="20"/>
                        <w:shd w:val="clear" w:color="auto" w:fill="FFFFFF"/>
                      </w:rPr>
                      <m:t>)</m:t>
                    </m:r>
                  </m:den>
                </m:f>
                <m:f>
                  <m:fPr>
                    <m:ctrlPr>
                      <w:rPr>
                        <w:rFonts w:ascii="Cambria Math" w:hAnsi="Cambria Math" w:cs="Times New Roman"/>
                        <w:noProof/>
                        <w:sz w:val="20"/>
                        <w:szCs w:val="20"/>
                        <w:shd w:val="clear" w:color="auto" w:fill="FFFFFF"/>
                      </w:rPr>
                    </m:ctrlPr>
                  </m:fPr>
                  <m:num>
                    <m:r>
                      <w:rPr>
                        <w:rFonts w:ascii="Cambria Math" w:hAnsi="Cambria Math" w:cs="Times New Roman"/>
                        <w:noProof/>
                        <w:sz w:val="20"/>
                        <w:szCs w:val="20"/>
                        <w:shd w:val="clear" w:color="auto" w:fill="FFFFFF"/>
                      </w:rPr>
                      <m:t>1L</m:t>
                    </m:r>
                  </m:num>
                  <m:den>
                    <m:r>
                      <w:rPr>
                        <w:rFonts w:ascii="Cambria Math" w:hAnsi="Cambria Math" w:cs="Times New Roman"/>
                        <w:noProof/>
                        <w:sz w:val="20"/>
                        <w:szCs w:val="20"/>
                        <w:shd w:val="clear" w:color="auto" w:fill="FFFFFF"/>
                      </w:rPr>
                      <m:t>1000 ml</m:t>
                    </m:r>
                  </m:den>
                </m:f>
              </m:oMath>
            </m:oMathPara>
          </w:p>
        </w:tc>
        <w:tc>
          <w:tcPr>
            <w:tcW w:w="819" w:type="pct"/>
            <w:vAlign w:val="center"/>
          </w:tcPr>
          <w:p w:rsidR="008802B1" w:rsidRPr="008F4B40" w:rsidRDefault="000C1C45"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10</w:t>
            </w:r>
          </w:p>
        </w:tc>
      </w:tr>
    </w:tbl>
    <w:p w:rsidR="008802B1" w:rsidRPr="008F4B40" w:rsidRDefault="008802B1" w:rsidP="008802B1">
      <w:pPr>
        <w:autoSpaceDE w:val="0"/>
        <w:autoSpaceDN w:val="0"/>
        <w:adjustRightInd w:val="0"/>
        <w:spacing w:after="0" w:line="360" w:lineRule="auto"/>
        <w:jc w:val="both"/>
        <w:rPr>
          <w:rFonts w:ascii="Palatino Linotype" w:hAnsi="Palatino Linotype" w:cs="Times New Roman"/>
          <w:i/>
          <w:noProof/>
          <w:sz w:val="20"/>
          <w:szCs w:val="20"/>
          <w:shd w:val="clear" w:color="auto" w:fill="FFFFFF"/>
        </w:rPr>
      </w:pPr>
      <w:r w:rsidRPr="008F4B40">
        <w:rPr>
          <w:rFonts w:ascii="Palatino Linotype" w:hAnsi="Palatino Linotype" w:cs="Times New Roman"/>
          <w:noProof/>
          <w:sz w:val="20"/>
          <w:szCs w:val="20"/>
          <w:shd w:val="clear" w:color="auto" w:fill="FFFFFF"/>
        </w:rPr>
        <w:t>Where:</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noProof/>
          <w:sz w:val="20"/>
          <w:szCs w:val="20"/>
          <w:shd w:val="clear" w:color="auto" w:fill="FFFFFF"/>
        </w:rPr>
      </w:pPr>
      <w:r w:rsidRPr="008F4B40">
        <w:rPr>
          <w:rFonts w:ascii="Palatino Linotype" w:hAnsi="Palatino Linotype" w:cs="Times New Roman"/>
          <w:noProof/>
          <w:sz w:val="20"/>
          <w:szCs w:val="20"/>
          <w:shd w:val="clear" w:color="auto" w:fill="FFFFFF"/>
        </w:rPr>
        <w:t>C</w:t>
      </w:r>
      <w:r w:rsidRPr="008F4B40">
        <w:rPr>
          <w:rFonts w:ascii="Palatino Linotype" w:hAnsi="Palatino Linotype" w:cs="Times New Roman"/>
          <w:noProof/>
          <w:sz w:val="20"/>
          <w:szCs w:val="20"/>
          <w:shd w:val="clear" w:color="auto" w:fill="FFFFFF"/>
          <w:vertAlign w:val="subscript"/>
        </w:rPr>
        <w:t>N,initial</w:t>
      </w:r>
      <w:r w:rsidRPr="008F4B40">
        <w:rPr>
          <w:rFonts w:ascii="Palatino Linotype" w:hAnsi="Palatino Linotype" w:cs="Times New Roman"/>
          <w:noProof/>
          <w:sz w:val="20"/>
          <w:szCs w:val="20"/>
          <w:shd w:val="clear" w:color="auto" w:fill="FFFFFF"/>
        </w:rPr>
        <w:t xml:space="preserve"> is the initial concentration of nitrogen present in the medium (212 mg/l)</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noProof/>
          <w:sz w:val="20"/>
          <w:szCs w:val="20"/>
          <w:shd w:val="clear" w:color="auto" w:fill="FFFFFF"/>
        </w:rPr>
      </w:pPr>
      <w:r w:rsidRPr="008F4B40">
        <w:rPr>
          <w:rFonts w:ascii="Palatino Linotype" w:hAnsi="Palatino Linotype" w:cs="Times New Roman"/>
          <w:noProof/>
          <w:sz w:val="20"/>
          <w:szCs w:val="20"/>
          <w:shd w:val="clear" w:color="auto" w:fill="FFFFFF"/>
        </w:rPr>
        <w:t>C</w:t>
      </w:r>
      <w:r w:rsidRPr="008F4B40">
        <w:rPr>
          <w:rFonts w:ascii="Palatino Linotype" w:hAnsi="Palatino Linotype" w:cs="Times New Roman"/>
          <w:noProof/>
          <w:sz w:val="20"/>
          <w:szCs w:val="20"/>
          <w:shd w:val="clear" w:color="auto" w:fill="FFFFFF"/>
          <w:vertAlign w:val="subscript"/>
        </w:rPr>
        <w:t>N</w:t>
      </w:r>
      <w:r w:rsidRPr="008F4B40">
        <w:rPr>
          <w:rFonts w:ascii="Palatino Linotype" w:hAnsi="Palatino Linotype" w:cs="Times New Roman"/>
          <w:noProof/>
          <w:sz w:val="20"/>
          <w:szCs w:val="20"/>
          <w:shd w:val="clear" w:color="auto" w:fill="FFFFFF"/>
        </w:rPr>
        <w:t xml:space="preserve"> is the concentration of nitrogen at any given time (See </w:t>
      </w:r>
      <w:hyperlink w:anchor="_Nitrogen_determination" w:history="1">
        <w:r w:rsidRPr="008F4B40">
          <w:rPr>
            <w:rStyle w:val="aff0"/>
            <w:rFonts w:ascii="Palatino Linotype" w:hAnsi="Palatino Linotype" w:cs="Times New Roman"/>
            <w:noProof/>
            <w:color w:val="auto"/>
            <w:sz w:val="20"/>
            <w:szCs w:val="20"/>
            <w:u w:val="none"/>
            <w:shd w:val="clear" w:color="auto" w:fill="FFFFFF"/>
          </w:rPr>
          <w:t>Section 4.2.4</w:t>
        </w:r>
      </w:hyperlink>
      <w:r w:rsidRPr="008F4B40">
        <w:rPr>
          <w:rFonts w:ascii="Palatino Linotype" w:hAnsi="Palatino Linotype" w:cs="Times New Roman"/>
          <w:noProof/>
          <w:sz w:val="20"/>
          <w:szCs w:val="20"/>
          <w:shd w:val="clear" w:color="auto" w:fill="FFFFFF"/>
        </w:rPr>
        <w:t xml:space="preserve"> for nitrogen determination method)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noProof/>
          <w:sz w:val="20"/>
          <w:szCs w:val="20"/>
          <w:shd w:val="clear" w:color="auto" w:fill="FFFFFF"/>
        </w:rPr>
        <w:t xml:space="preserve">The culture broth is buffered by a combination of a weak conjugate acid, </w:t>
      </w:r>
      <w:r w:rsidRPr="008F4B40">
        <w:rPr>
          <w:rFonts w:ascii="Palatino Linotype" w:eastAsia="Times New Roman" w:hAnsi="Palatino Linotype" w:cs="Times New Roman"/>
          <w:sz w:val="20"/>
          <w:szCs w:val="20"/>
        </w:rPr>
        <w:t>KH</w:t>
      </w:r>
      <w:r w:rsidRPr="008F4B40">
        <w:rPr>
          <w:rFonts w:ascii="Palatino Linotype" w:eastAsia="Times New Roman" w:hAnsi="Palatino Linotype" w:cs="Times New Roman"/>
          <w:sz w:val="20"/>
          <w:szCs w:val="20"/>
          <w:vertAlign w:val="subscript"/>
        </w:rPr>
        <w:t>2</w:t>
      </w:r>
      <w:r w:rsidRPr="008F4B40">
        <w:rPr>
          <w:rFonts w:ascii="Palatino Linotype" w:eastAsia="Times New Roman" w:hAnsi="Palatino Linotype" w:cs="Times New Roman"/>
          <w:sz w:val="20"/>
          <w:szCs w:val="20"/>
        </w:rPr>
        <w:t>PO</w:t>
      </w:r>
      <w:r w:rsidRPr="008F4B40">
        <w:rPr>
          <w:rFonts w:ascii="Palatino Linotype" w:eastAsia="Times New Roman" w:hAnsi="Palatino Linotype" w:cs="Times New Roman"/>
          <w:sz w:val="20"/>
          <w:szCs w:val="20"/>
          <w:vertAlign w:val="subscript"/>
        </w:rPr>
        <w:t>4</w:t>
      </w:r>
      <w:r w:rsidRPr="008F4B40">
        <w:rPr>
          <w:rFonts w:ascii="Palatino Linotype" w:hAnsi="Palatino Linotype" w:cs="Times New Roman"/>
          <w:noProof/>
          <w:sz w:val="20"/>
          <w:szCs w:val="20"/>
          <w:shd w:val="clear" w:color="auto" w:fill="FFFFFF"/>
        </w:rPr>
        <w:t xml:space="preserve"> and a weak conjugate base, </w:t>
      </w:r>
      <w:r w:rsidRPr="008F4B40">
        <w:rPr>
          <w:rFonts w:ascii="Palatino Linotype" w:eastAsia="Times New Roman" w:hAnsi="Palatino Linotype" w:cs="Times New Roman"/>
          <w:sz w:val="20"/>
          <w:szCs w:val="20"/>
        </w:rPr>
        <w:t>Na</w:t>
      </w:r>
      <w:r w:rsidRPr="008F4B40">
        <w:rPr>
          <w:rFonts w:ascii="Palatino Linotype" w:eastAsia="Times New Roman" w:hAnsi="Palatino Linotype" w:cs="Times New Roman"/>
          <w:sz w:val="20"/>
          <w:szCs w:val="20"/>
          <w:vertAlign w:val="subscript"/>
        </w:rPr>
        <w:t>2</w:t>
      </w:r>
      <w:r w:rsidRPr="008F4B40">
        <w:rPr>
          <w:rFonts w:ascii="Palatino Linotype" w:eastAsia="Times New Roman" w:hAnsi="Palatino Linotype" w:cs="Times New Roman"/>
          <w:sz w:val="20"/>
          <w:szCs w:val="20"/>
        </w:rPr>
        <w:t>HPO</w:t>
      </w:r>
      <w:r w:rsidRPr="008F4B40">
        <w:rPr>
          <w:rFonts w:ascii="Palatino Linotype" w:eastAsia="Times New Roman" w:hAnsi="Palatino Linotype" w:cs="Times New Roman"/>
          <w:sz w:val="20"/>
          <w:szCs w:val="20"/>
          <w:vertAlign w:val="subscript"/>
        </w:rPr>
        <w:t>4</w:t>
      </w:r>
      <w:r w:rsidRPr="008F4B40">
        <w:rPr>
          <w:rFonts w:ascii="Palatino Linotype" w:eastAsia="Times New Roman" w:hAnsi="Palatino Linotype" w:cs="Times New Roman"/>
          <w:sz w:val="20"/>
          <w:szCs w:val="20"/>
        </w:rPr>
        <w:t xml:space="preserve"> (though these also constitute phosphate sources for cell growth). So </w:t>
      </w:r>
      <w:r w:rsidRPr="008F4B40">
        <w:rPr>
          <w:rFonts w:ascii="Palatino Linotype" w:hAnsi="Palatino Linotype" w:cs="Times New Roman"/>
          <w:sz w:val="20"/>
          <w:szCs w:val="20"/>
          <w:shd w:val="clear" w:color="auto" w:fill="FFFFFF"/>
        </w:rPr>
        <w:t>the net amount of hydronium ions generated due to organic acid production, ∆</w:t>
      </w:r>
      <w:r w:rsidRPr="008F4B40">
        <w:rPr>
          <w:rStyle w:val="apple-converted-space"/>
          <w:rFonts w:ascii="Palatino Linotype" w:hAnsi="Palatino Linotype" w:cs="Times New Roman"/>
          <w:sz w:val="20"/>
          <w:szCs w:val="20"/>
          <w:shd w:val="clear" w:color="auto" w:fill="FFFFFF"/>
        </w:rPr>
        <w:t>[H</w:t>
      </w:r>
      <w:r w:rsidRPr="008F4B40">
        <w:rPr>
          <w:rStyle w:val="apple-converted-space"/>
          <w:rFonts w:ascii="Palatino Linotype" w:hAnsi="Palatino Linotype" w:cs="Times New Roman"/>
          <w:sz w:val="20"/>
          <w:szCs w:val="20"/>
          <w:shd w:val="clear" w:color="auto" w:fill="FFFFFF"/>
          <w:vertAlign w:val="subscript"/>
        </w:rPr>
        <w:t>3</w:t>
      </w:r>
      <w:r w:rsidRPr="008F4B40">
        <w:rPr>
          <w:rStyle w:val="apple-converted-space"/>
          <w:rFonts w:ascii="Palatino Linotype" w:hAnsi="Palatino Linotype" w:cs="Times New Roman"/>
          <w:sz w:val="20"/>
          <w:szCs w:val="20"/>
          <w:shd w:val="clear" w:color="auto" w:fill="FFFFFF"/>
        </w:rPr>
        <w:t>O</w:t>
      </w:r>
      <w:r w:rsidRPr="008F4B40">
        <w:rPr>
          <w:rStyle w:val="apple-converted-space"/>
          <w:rFonts w:ascii="Palatino Linotype" w:hAnsi="Palatino Linotype" w:cs="Times New Roman"/>
          <w:sz w:val="20"/>
          <w:szCs w:val="20"/>
          <w:shd w:val="clear" w:color="auto" w:fill="FFFFFF"/>
          <w:vertAlign w:val="superscript"/>
        </w:rPr>
        <w:t>+</w:t>
      </w:r>
      <w:r w:rsidRPr="008F4B40">
        <w:rPr>
          <w:rStyle w:val="apple-converted-space"/>
          <w:rFonts w:ascii="Palatino Linotype" w:hAnsi="Palatino Linotype" w:cs="Times New Roman"/>
          <w:sz w:val="20"/>
          <w:szCs w:val="20"/>
          <w:shd w:val="clear" w:color="auto" w:fill="FFFFFF"/>
        </w:rPr>
        <w:t>]</w:t>
      </w:r>
      <w:r w:rsidRPr="008F4B40">
        <w:rPr>
          <w:rStyle w:val="apple-converted-space"/>
          <w:rFonts w:ascii="Palatino Linotype" w:hAnsi="Palatino Linotype" w:cs="Times New Roman"/>
          <w:sz w:val="20"/>
          <w:szCs w:val="20"/>
          <w:shd w:val="clear" w:color="auto" w:fill="FFFFFF"/>
          <w:vertAlign w:val="subscript"/>
        </w:rPr>
        <w:t>OA</w:t>
      </w:r>
      <w:r w:rsidRPr="008F4B40">
        <w:rPr>
          <w:rStyle w:val="apple-converted-space"/>
          <w:rFonts w:ascii="Palatino Linotype" w:hAnsi="Palatino Linotype" w:cs="Times New Roman"/>
          <w:sz w:val="20"/>
          <w:szCs w:val="20"/>
          <w:shd w:val="clear" w:color="auto" w:fill="FFFFFF"/>
        </w:rPr>
        <w:t xml:space="preserve"> (in M), in a buffer solution </w:t>
      </w:r>
      <w:r w:rsidR="000C1C45" w:rsidRPr="008F4B40">
        <w:rPr>
          <w:rFonts w:ascii="Palatino Linotype" w:hAnsi="Palatino Linotype" w:cs="Times New Roman"/>
          <w:sz w:val="20"/>
          <w:szCs w:val="20"/>
          <w:shd w:val="clear" w:color="auto" w:fill="FFFFFF"/>
        </w:rPr>
        <w:t>can be calculated as follows.</w:t>
      </w:r>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8802B1" w:rsidP="008802B1">
            <w:pPr>
              <w:autoSpaceDE w:val="0"/>
              <w:autoSpaceDN w:val="0"/>
              <w:adjustRightInd w:val="0"/>
              <w:spacing w:after="0" w:line="240" w:lineRule="auto"/>
              <w:jc w:val="both"/>
              <w:rPr>
                <w:rFonts w:ascii="Palatino Linotype" w:hAnsi="Palatino Linotype" w:cs="Times New Roman"/>
                <w:i/>
                <w:noProof/>
                <w:sz w:val="20"/>
                <w:szCs w:val="20"/>
                <w:shd w:val="clear" w:color="auto" w:fill="FFFFFF"/>
              </w:rPr>
            </w:pPr>
            <m:oMathPara>
              <m:oMath>
                <m:r>
                  <w:rPr>
                    <w:rFonts w:ascii="Cambria Math" w:hAnsi="Cambria Math" w:cs="Times New Roman"/>
                    <w:noProof/>
                    <w:sz w:val="20"/>
                    <w:szCs w:val="20"/>
                    <w:shd w:val="clear" w:color="auto" w:fill="FFFFFF"/>
                  </w:rPr>
                  <m:t>∆</m:t>
                </m:r>
                <m:sSub>
                  <m:sSubPr>
                    <m:ctrlPr>
                      <w:rPr>
                        <w:rFonts w:ascii="Cambria Math" w:hAnsi="Cambria Math" w:cs="Times New Roman"/>
                        <w:noProof/>
                        <w:sz w:val="20"/>
                        <w:szCs w:val="20"/>
                        <w:shd w:val="clear" w:color="auto" w:fill="FFFFFF"/>
                      </w:rPr>
                    </m:ctrlPr>
                  </m:sSubPr>
                  <m:e>
                    <m:d>
                      <m:dPr>
                        <m:begChr m:val="["/>
                        <m:endChr m:val="]"/>
                        <m:ctrlPr>
                          <w:rPr>
                            <w:rFonts w:ascii="Cambria Math" w:hAnsi="Cambria Math" w:cs="Times New Roman"/>
                            <w:noProof/>
                            <w:sz w:val="20"/>
                            <w:szCs w:val="20"/>
                            <w:shd w:val="clear" w:color="auto" w:fill="FFFFFF"/>
                          </w:rPr>
                        </m:ctrlPr>
                      </m:dPr>
                      <m:e>
                        <m:sSup>
                          <m:sSupPr>
                            <m:ctrlPr>
                              <w:rPr>
                                <w:rFonts w:ascii="Cambria Math" w:hAnsi="Cambria Math" w:cs="Times New Roman"/>
                                <w:noProof/>
                                <w:sz w:val="20"/>
                                <w:szCs w:val="20"/>
                                <w:shd w:val="clear" w:color="auto" w:fill="FFFFFF"/>
                              </w:rPr>
                            </m:ctrlPr>
                          </m:sSupPr>
                          <m:e>
                            <m:sSub>
                              <m:sSubPr>
                                <m:ctrlPr>
                                  <w:rPr>
                                    <w:rFonts w:ascii="Cambria Math" w:hAnsi="Cambria Math" w:cs="Times New Roman"/>
                                    <w:noProof/>
                                    <w:sz w:val="20"/>
                                    <w:szCs w:val="20"/>
                                    <w:shd w:val="clear" w:color="auto" w:fill="FFFFFF"/>
                                  </w:rPr>
                                </m:ctrlPr>
                              </m:sSubPr>
                              <m:e>
                                <m:r>
                                  <w:rPr>
                                    <w:rFonts w:ascii="Cambria Math" w:hAnsi="Cambria Math" w:cs="Times New Roman"/>
                                    <w:noProof/>
                                    <w:sz w:val="20"/>
                                    <w:szCs w:val="20"/>
                                    <w:shd w:val="clear" w:color="auto" w:fill="FFFFFF"/>
                                  </w:rPr>
                                  <m:t>H</m:t>
                                </m:r>
                              </m:e>
                              <m:sub>
                                <m:r>
                                  <w:rPr>
                                    <w:rFonts w:ascii="Cambria Math" w:hAnsi="Cambria Math" w:cs="Times New Roman"/>
                                    <w:noProof/>
                                    <w:sz w:val="20"/>
                                    <w:szCs w:val="20"/>
                                    <w:shd w:val="clear" w:color="auto" w:fill="FFFFFF"/>
                                  </w:rPr>
                                  <m:t>3</m:t>
                                </m:r>
                              </m:sub>
                            </m:sSub>
                            <m:r>
                              <w:rPr>
                                <w:rFonts w:ascii="Cambria Math" w:hAnsi="Cambria Math" w:cs="Times New Roman"/>
                                <w:noProof/>
                                <w:sz w:val="20"/>
                                <w:szCs w:val="20"/>
                                <w:shd w:val="clear" w:color="auto" w:fill="FFFFFF"/>
                              </w:rPr>
                              <m:t>O</m:t>
                            </m:r>
                          </m:e>
                          <m:sup>
                            <m:r>
                              <w:rPr>
                                <w:rFonts w:ascii="Cambria Math" w:hAnsi="Cambria Math" w:cs="Times New Roman"/>
                                <w:noProof/>
                                <w:sz w:val="20"/>
                                <w:szCs w:val="20"/>
                                <w:shd w:val="clear" w:color="auto" w:fill="FFFFFF"/>
                              </w:rPr>
                              <m:t>+</m:t>
                            </m:r>
                          </m:sup>
                        </m:sSup>
                      </m:e>
                    </m:d>
                  </m:e>
                  <m:sub>
                    <m:r>
                      <w:rPr>
                        <w:rFonts w:ascii="Cambria Math" w:hAnsi="Cambria Math" w:cs="Times New Roman"/>
                        <w:noProof/>
                        <w:sz w:val="20"/>
                        <w:szCs w:val="20"/>
                        <w:shd w:val="clear" w:color="auto" w:fill="FFFFFF"/>
                      </w:rPr>
                      <m:t>OA</m:t>
                    </m:r>
                  </m:sub>
                </m:sSub>
                <m:r>
                  <w:rPr>
                    <w:rFonts w:ascii="Cambria Math" w:hAnsi="Cambria Math" w:cs="Times New Roman"/>
                    <w:noProof/>
                    <w:sz w:val="20"/>
                    <w:szCs w:val="20"/>
                    <w:shd w:val="clear" w:color="auto" w:fill="FFFFFF"/>
                  </w:rPr>
                  <m:t>=</m:t>
                </m:r>
                <m:f>
                  <m:fPr>
                    <m:ctrlPr>
                      <w:rPr>
                        <w:rFonts w:ascii="Cambria Math" w:hAnsi="Cambria Math" w:cs="Times New Roman"/>
                        <w:noProof/>
                        <w:sz w:val="20"/>
                        <w:szCs w:val="20"/>
                        <w:shd w:val="clear" w:color="auto" w:fill="FFFFFF"/>
                      </w:rPr>
                    </m:ctrlPr>
                  </m:fPr>
                  <m:num>
                    <m:r>
                      <w:rPr>
                        <w:rFonts w:ascii="Cambria Math" w:hAnsi="Cambria Math" w:cs="Times New Roman"/>
                        <w:noProof/>
                        <w:sz w:val="20"/>
                        <w:szCs w:val="20"/>
                        <w:shd w:val="clear" w:color="auto" w:fill="FFFFFF"/>
                      </w:rPr>
                      <m:t>L</m:t>
                    </m:r>
                    <m:d>
                      <m:dPr>
                        <m:begChr m:val="["/>
                        <m:endChr m:val="]"/>
                        <m:ctrlPr>
                          <w:rPr>
                            <w:rFonts w:ascii="Cambria Math" w:hAnsi="Cambria Math" w:cs="Times New Roman"/>
                            <w:noProof/>
                            <w:sz w:val="20"/>
                            <w:szCs w:val="20"/>
                            <w:shd w:val="clear" w:color="auto" w:fill="FFFFFF"/>
                          </w:rPr>
                        </m:ctrlPr>
                      </m:dPr>
                      <m:e>
                        <m:r>
                          <w:rPr>
                            <w:rFonts w:ascii="Cambria Math" w:hAnsi="Cambria Math" w:cs="Times New Roman"/>
                            <w:noProof/>
                            <w:sz w:val="20"/>
                            <w:szCs w:val="20"/>
                            <w:shd w:val="clear" w:color="auto" w:fill="FFFFFF"/>
                          </w:rPr>
                          <m:t>HA</m:t>
                        </m:r>
                      </m:e>
                    </m:d>
                    <m:r>
                      <w:rPr>
                        <w:rFonts w:ascii="Cambria Math" w:hAnsi="Cambria Math" w:cs="Times New Roman"/>
                        <w:noProof/>
                        <w:sz w:val="20"/>
                        <w:szCs w:val="20"/>
                        <w:shd w:val="clear" w:color="auto" w:fill="FFFFFF"/>
                      </w:rPr>
                      <m:t>-[</m:t>
                    </m:r>
                    <m:sSup>
                      <m:sSupPr>
                        <m:ctrlPr>
                          <w:rPr>
                            <w:rFonts w:ascii="Cambria Math" w:hAnsi="Cambria Math" w:cs="Times New Roman"/>
                            <w:noProof/>
                            <w:sz w:val="20"/>
                            <w:szCs w:val="20"/>
                            <w:shd w:val="clear" w:color="auto" w:fill="FFFFFF"/>
                          </w:rPr>
                        </m:ctrlPr>
                      </m:sSupPr>
                      <m:e>
                        <m:r>
                          <w:rPr>
                            <w:rFonts w:ascii="Cambria Math" w:hAnsi="Cambria Math" w:cs="Times New Roman"/>
                            <w:noProof/>
                            <w:sz w:val="20"/>
                            <w:szCs w:val="20"/>
                            <w:shd w:val="clear" w:color="auto" w:fill="FFFFFF"/>
                          </w:rPr>
                          <m:t>A</m:t>
                        </m:r>
                      </m:e>
                      <m:sup>
                        <m:r>
                          <w:rPr>
                            <w:rFonts w:ascii="Cambria Math" w:hAnsi="Cambria Math" w:cs="Times New Roman"/>
                            <w:noProof/>
                            <w:sz w:val="20"/>
                            <w:szCs w:val="20"/>
                            <w:shd w:val="clear" w:color="auto" w:fill="FFFFFF"/>
                          </w:rPr>
                          <m:t>-</m:t>
                        </m:r>
                      </m:sup>
                    </m:sSup>
                    <m:r>
                      <w:rPr>
                        <w:rFonts w:ascii="Cambria Math" w:hAnsi="Cambria Math" w:cs="Times New Roman"/>
                        <w:noProof/>
                        <w:sz w:val="20"/>
                        <w:szCs w:val="20"/>
                        <w:shd w:val="clear" w:color="auto" w:fill="FFFFFF"/>
                      </w:rPr>
                      <m:t>]</m:t>
                    </m:r>
                  </m:num>
                  <m:den>
                    <m:r>
                      <w:rPr>
                        <w:rFonts w:ascii="Cambria Math" w:eastAsia="MS Mincho" w:hAnsi="Cambria Math" w:cs="Times New Roman"/>
                        <w:noProof/>
                        <w:sz w:val="20"/>
                        <w:szCs w:val="20"/>
                        <w:shd w:val="clear" w:color="auto" w:fill="FFFFFF"/>
                      </w:rPr>
                      <m:t>-(</m:t>
                    </m:r>
                    <m:r>
                      <w:rPr>
                        <w:rFonts w:ascii="Cambria Math" w:hAnsi="Cambria Math" w:cs="Times New Roman"/>
                        <w:noProof/>
                        <w:sz w:val="20"/>
                        <w:szCs w:val="20"/>
                        <w:shd w:val="clear" w:color="auto" w:fill="FFFFFF"/>
                      </w:rPr>
                      <m:t>L+1)</m:t>
                    </m:r>
                  </m:den>
                </m:f>
                <m:r>
                  <w:rPr>
                    <w:rFonts w:ascii="Cambria Math" w:hAnsi="Cambria Math" w:cs="Times New Roman"/>
                    <w:noProof/>
                    <w:sz w:val="20"/>
                    <w:szCs w:val="20"/>
                    <w:shd w:val="clear" w:color="auto" w:fill="FFFFFF"/>
                  </w:rPr>
                  <m:t>-∆</m:t>
                </m:r>
                <m:sSub>
                  <m:sSubPr>
                    <m:ctrlPr>
                      <w:rPr>
                        <w:rFonts w:ascii="Cambria Math" w:hAnsi="Cambria Math" w:cs="Times New Roman"/>
                        <w:noProof/>
                        <w:sz w:val="20"/>
                        <w:szCs w:val="20"/>
                        <w:shd w:val="clear" w:color="auto" w:fill="FFFFFF"/>
                      </w:rPr>
                    </m:ctrlPr>
                  </m:sSubPr>
                  <m:e>
                    <m:d>
                      <m:dPr>
                        <m:begChr m:val="["/>
                        <m:endChr m:val="]"/>
                        <m:ctrlPr>
                          <w:rPr>
                            <w:rFonts w:ascii="Cambria Math" w:hAnsi="Cambria Math" w:cs="Times New Roman"/>
                            <w:noProof/>
                            <w:sz w:val="20"/>
                            <w:szCs w:val="20"/>
                            <w:shd w:val="clear" w:color="auto" w:fill="FFFFFF"/>
                          </w:rPr>
                        </m:ctrlPr>
                      </m:dPr>
                      <m:e>
                        <m:sSup>
                          <m:sSupPr>
                            <m:ctrlPr>
                              <w:rPr>
                                <w:rFonts w:ascii="Cambria Math" w:hAnsi="Cambria Math" w:cs="Times New Roman"/>
                                <w:noProof/>
                                <w:sz w:val="20"/>
                                <w:szCs w:val="20"/>
                                <w:shd w:val="clear" w:color="auto" w:fill="FFFFFF"/>
                              </w:rPr>
                            </m:ctrlPr>
                          </m:sSupPr>
                          <m:e>
                            <m:sSub>
                              <m:sSubPr>
                                <m:ctrlPr>
                                  <w:rPr>
                                    <w:rFonts w:ascii="Cambria Math" w:hAnsi="Cambria Math" w:cs="Times New Roman"/>
                                    <w:noProof/>
                                    <w:sz w:val="20"/>
                                    <w:szCs w:val="20"/>
                                    <w:shd w:val="clear" w:color="auto" w:fill="FFFFFF"/>
                                  </w:rPr>
                                </m:ctrlPr>
                              </m:sSubPr>
                              <m:e>
                                <m:r>
                                  <w:rPr>
                                    <w:rFonts w:ascii="Cambria Math" w:hAnsi="Cambria Math" w:cs="Times New Roman"/>
                                    <w:noProof/>
                                    <w:sz w:val="20"/>
                                    <w:szCs w:val="20"/>
                                    <w:shd w:val="clear" w:color="auto" w:fill="FFFFFF"/>
                                  </w:rPr>
                                  <m:t>H</m:t>
                                </m:r>
                              </m:e>
                              <m:sub>
                                <m:r>
                                  <w:rPr>
                                    <w:rFonts w:ascii="Cambria Math" w:hAnsi="Cambria Math" w:cs="Times New Roman"/>
                                    <w:noProof/>
                                    <w:sz w:val="20"/>
                                    <w:szCs w:val="20"/>
                                    <w:shd w:val="clear" w:color="auto" w:fill="FFFFFF"/>
                                  </w:rPr>
                                  <m:t>3</m:t>
                                </m:r>
                              </m:sub>
                            </m:sSub>
                            <m:r>
                              <w:rPr>
                                <w:rFonts w:ascii="Cambria Math" w:hAnsi="Cambria Math" w:cs="Times New Roman"/>
                                <w:noProof/>
                                <w:sz w:val="20"/>
                                <w:szCs w:val="20"/>
                                <w:shd w:val="clear" w:color="auto" w:fill="FFFFFF"/>
                              </w:rPr>
                              <m:t>O</m:t>
                            </m:r>
                          </m:e>
                          <m:sup>
                            <m:r>
                              <w:rPr>
                                <w:rFonts w:ascii="Cambria Math" w:hAnsi="Cambria Math" w:cs="Times New Roman"/>
                                <w:noProof/>
                                <w:sz w:val="20"/>
                                <w:szCs w:val="20"/>
                                <w:shd w:val="clear" w:color="auto" w:fill="FFFFFF"/>
                              </w:rPr>
                              <m:t>+</m:t>
                            </m:r>
                          </m:sup>
                        </m:sSup>
                      </m:e>
                    </m:d>
                  </m:e>
                  <m:sub>
                    <m:r>
                      <w:rPr>
                        <w:rFonts w:ascii="Cambria Math" w:hAnsi="Cambria Math" w:cs="Times New Roman"/>
                        <w:noProof/>
                        <w:sz w:val="20"/>
                        <w:szCs w:val="20"/>
                        <w:shd w:val="clear" w:color="auto" w:fill="FFFFFF"/>
                      </w:rPr>
                      <m:t>N</m:t>
                    </m:r>
                  </m:sub>
                </m:sSub>
              </m:oMath>
            </m:oMathPara>
          </w:p>
        </w:tc>
        <w:tc>
          <w:tcPr>
            <w:tcW w:w="819" w:type="pct"/>
            <w:vAlign w:val="center"/>
          </w:tcPr>
          <w:p w:rsidR="008802B1" w:rsidRPr="008F4B40" w:rsidRDefault="000C1C45"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11</w:t>
            </w:r>
          </w:p>
        </w:tc>
      </w:tr>
    </w:tbl>
    <w:p w:rsidR="008802B1" w:rsidRPr="008F4B40" w:rsidRDefault="008802B1" w:rsidP="008802B1">
      <w:pPr>
        <w:autoSpaceDE w:val="0"/>
        <w:autoSpaceDN w:val="0"/>
        <w:adjustRightInd w:val="0"/>
        <w:spacing w:after="0" w:line="240" w:lineRule="auto"/>
        <w:jc w:val="both"/>
        <w:rPr>
          <w:rFonts w:ascii="Palatino Linotype" w:hAnsi="Palatino Linotype" w:cs="Times New Roman"/>
          <w:i/>
          <w:noProof/>
          <w:sz w:val="20"/>
          <w:szCs w:val="20"/>
          <w:shd w:val="clear" w:color="auto" w:fill="FFFFFF"/>
        </w:rPr>
      </w:pPr>
      <w:r w:rsidRPr="008F4B40">
        <w:rPr>
          <w:rFonts w:ascii="Palatino Linotype" w:hAnsi="Palatino Linotype" w:cs="Times New Roman"/>
          <w:noProof/>
          <w:sz w:val="20"/>
          <w:szCs w:val="20"/>
          <w:shd w:val="clear" w:color="auto" w:fill="FFFFFF"/>
        </w:rPr>
        <w:t>Where:</w:t>
      </w:r>
    </w:p>
    <w:p w:rsidR="008802B1" w:rsidRPr="008F4B40" w:rsidRDefault="008802B1" w:rsidP="008802B1">
      <w:pPr>
        <w:pStyle w:val="a7"/>
        <w:spacing w:line="360" w:lineRule="auto"/>
        <w:rPr>
          <w:rFonts w:ascii="Palatino Linotype" w:hAnsi="Palatino Linotype" w:cs="Times New Roman"/>
          <w:i/>
          <w:noProof/>
          <w:sz w:val="20"/>
          <w:szCs w:val="20"/>
        </w:rPr>
      </w:pPr>
      <w:r w:rsidRPr="008F4B40">
        <w:rPr>
          <w:rFonts w:ascii="Palatino Linotype" w:hAnsi="Palatino Linotype" w:cs="Times New Roman"/>
          <w:noProof/>
          <w:sz w:val="20"/>
          <w:szCs w:val="20"/>
        </w:rPr>
        <w:t>Constant pKa equals 6.83</w:t>
      </w:r>
    </w:p>
    <w:p w:rsidR="008802B1" w:rsidRPr="008F4B40" w:rsidRDefault="008802B1" w:rsidP="008802B1">
      <w:pPr>
        <w:pStyle w:val="a7"/>
        <w:spacing w:line="360" w:lineRule="auto"/>
        <w:rPr>
          <w:rFonts w:ascii="Palatino Linotype" w:eastAsia="Times New Roman" w:hAnsi="Palatino Linotype" w:cs="Times New Roman"/>
          <w:b/>
          <w:i/>
          <w:iCs/>
          <w:sz w:val="20"/>
          <w:szCs w:val="20"/>
        </w:rPr>
      </w:pPr>
      <w:r w:rsidRPr="008F4B40">
        <w:rPr>
          <w:rFonts w:ascii="Palatino Linotype" w:hAnsi="Palatino Linotype" w:cs="Times New Roman"/>
          <w:noProof/>
          <w:sz w:val="20"/>
          <w:szCs w:val="20"/>
        </w:rPr>
        <w:t xml:space="preserve">[HA] the concentration of </w:t>
      </w:r>
      <w:r w:rsidRPr="008F4B40">
        <w:rPr>
          <w:rFonts w:ascii="Palatino Linotype" w:eastAsia="Times New Roman" w:hAnsi="Palatino Linotype" w:cs="Times New Roman"/>
          <w:sz w:val="20"/>
          <w:szCs w:val="20"/>
        </w:rPr>
        <w:t>KH</w:t>
      </w:r>
      <w:r w:rsidRPr="008F4B40">
        <w:rPr>
          <w:rFonts w:ascii="Palatino Linotype" w:eastAsia="Times New Roman" w:hAnsi="Palatino Linotype" w:cs="Times New Roman"/>
          <w:sz w:val="20"/>
          <w:szCs w:val="20"/>
          <w:vertAlign w:val="subscript"/>
        </w:rPr>
        <w:t>2</w:t>
      </w:r>
      <w:r w:rsidRPr="008F4B40">
        <w:rPr>
          <w:rFonts w:ascii="Palatino Linotype" w:eastAsia="Times New Roman" w:hAnsi="Palatino Linotype" w:cs="Times New Roman"/>
          <w:sz w:val="20"/>
          <w:szCs w:val="20"/>
        </w:rPr>
        <w:t>PO</w:t>
      </w:r>
      <w:r w:rsidRPr="008F4B40">
        <w:rPr>
          <w:rFonts w:ascii="Palatino Linotype" w:eastAsia="Times New Roman" w:hAnsi="Palatino Linotype" w:cs="Times New Roman"/>
          <w:sz w:val="20"/>
          <w:szCs w:val="20"/>
          <w:vertAlign w:val="subscript"/>
        </w:rPr>
        <w:t>4</w:t>
      </w:r>
      <w:r w:rsidRPr="008F4B40">
        <w:rPr>
          <w:rFonts w:ascii="Palatino Linotype" w:eastAsia="Times New Roman" w:hAnsi="Palatino Linotype" w:cs="Times New Roman"/>
          <w:sz w:val="20"/>
          <w:szCs w:val="20"/>
        </w:rPr>
        <w:t xml:space="preserve"> equals to 0.0110 </w:t>
      </w:r>
      <w:r w:rsidRPr="008F4B40">
        <w:rPr>
          <w:rFonts w:ascii="Palatino Linotype" w:eastAsia="Times New Roman" w:hAnsi="Palatino Linotype" w:cs="Times New Roman"/>
          <w:b/>
          <w:sz w:val="20"/>
          <w:szCs w:val="20"/>
        </w:rPr>
        <w:t>M</w:t>
      </w:r>
    </w:p>
    <w:p w:rsidR="008802B1" w:rsidRPr="008F4B40" w:rsidRDefault="008802B1" w:rsidP="008802B1">
      <w:pPr>
        <w:pStyle w:val="a7"/>
        <w:spacing w:line="360" w:lineRule="auto"/>
        <w:rPr>
          <w:rFonts w:ascii="Palatino Linotype" w:eastAsia="Times New Roman" w:hAnsi="Palatino Linotype" w:cs="Times New Roman"/>
          <w:i/>
          <w:iCs/>
          <w:sz w:val="20"/>
          <w:szCs w:val="20"/>
        </w:rPr>
      </w:pPr>
      <w:r w:rsidRPr="008F4B40">
        <w:rPr>
          <w:rFonts w:ascii="Palatino Linotype" w:hAnsi="Palatino Linotype" w:cs="Times New Roman"/>
          <w:sz w:val="20"/>
          <w:szCs w:val="20"/>
        </w:rPr>
        <w:t>L</w:t>
      </w:r>
      <w:r w:rsidRPr="008F4B40">
        <w:rPr>
          <w:rFonts w:ascii="Palatino Linotype" w:hAnsi="Palatino Linotype" w:cs="Times New Roman"/>
          <w:b/>
          <w:sz w:val="20"/>
          <w:szCs w:val="20"/>
        </w:rPr>
        <w:t xml:space="preserve"> </w:t>
      </w:r>
      <w:r w:rsidRPr="008F4B40">
        <w:rPr>
          <w:rFonts w:ascii="Palatino Linotype" w:hAnsi="Palatino Linotype" w:cs="Times New Roman"/>
          <w:sz w:val="20"/>
          <w:szCs w:val="20"/>
        </w:rPr>
        <w:t xml:space="preserve">the lumped </w:t>
      </w:r>
      <w:r w:rsidRPr="008F4B40">
        <w:rPr>
          <w:rFonts w:ascii="Palatino Linotype" w:eastAsia="Times New Roman" w:hAnsi="Palatino Linotype" w:cs="Times New Roman"/>
          <w:sz w:val="20"/>
          <w:szCs w:val="20"/>
        </w:rPr>
        <w:t>factor equals to 10</w:t>
      </w:r>
      <w:r w:rsidRPr="008F4B40">
        <w:rPr>
          <w:rFonts w:ascii="Palatino Linotype" w:eastAsia="Times New Roman" w:hAnsi="Palatino Linotype" w:cs="Times New Roman"/>
          <w:sz w:val="20"/>
          <w:szCs w:val="20"/>
          <w:vertAlign w:val="superscript"/>
        </w:rPr>
        <w:t>(pH-pKa)</w:t>
      </w:r>
    </w:p>
    <w:p w:rsidR="008802B1" w:rsidRPr="008F4B40" w:rsidRDefault="008802B1" w:rsidP="008802B1">
      <w:pPr>
        <w:pStyle w:val="a7"/>
        <w:spacing w:line="360" w:lineRule="auto"/>
        <w:rPr>
          <w:rFonts w:ascii="Palatino Linotype" w:eastAsia="Times New Roman" w:hAnsi="Palatino Linotype" w:cs="Times New Roman"/>
          <w:i/>
          <w:iCs/>
          <w:sz w:val="20"/>
          <w:szCs w:val="20"/>
        </w:rPr>
      </w:pPr>
      <w:r w:rsidRPr="008F4B40">
        <w:rPr>
          <w:rFonts w:ascii="Palatino Linotype" w:hAnsi="Palatino Linotype" w:cs="Times New Roman"/>
          <w:noProof/>
          <w:sz w:val="20"/>
          <w:szCs w:val="20"/>
        </w:rPr>
        <w:t>[A</w:t>
      </w:r>
      <w:r w:rsidRPr="008F4B40">
        <w:rPr>
          <w:rFonts w:ascii="Palatino Linotype" w:hAnsi="Palatino Linotype" w:cs="Times New Roman"/>
          <w:noProof/>
          <w:sz w:val="20"/>
          <w:szCs w:val="20"/>
          <w:vertAlign w:val="superscript"/>
        </w:rPr>
        <w:t>-</w:t>
      </w:r>
      <w:r w:rsidRPr="008F4B40">
        <w:rPr>
          <w:rFonts w:ascii="Palatino Linotype" w:hAnsi="Palatino Linotype" w:cs="Times New Roman"/>
          <w:noProof/>
          <w:sz w:val="20"/>
          <w:szCs w:val="20"/>
        </w:rPr>
        <w:t>]</w:t>
      </w:r>
      <w:r w:rsidRPr="008F4B40">
        <w:rPr>
          <w:rFonts w:ascii="Palatino Linotype" w:eastAsia="Times New Roman" w:hAnsi="Palatino Linotype" w:cs="Times New Roman"/>
          <w:sz w:val="20"/>
          <w:szCs w:val="20"/>
        </w:rPr>
        <w:t xml:space="preserve"> the concentration of Na</w:t>
      </w:r>
      <w:r w:rsidRPr="008F4B40">
        <w:rPr>
          <w:rFonts w:ascii="Palatino Linotype" w:eastAsia="Times New Roman" w:hAnsi="Palatino Linotype" w:cs="Times New Roman"/>
          <w:sz w:val="20"/>
          <w:szCs w:val="20"/>
          <w:vertAlign w:val="subscript"/>
        </w:rPr>
        <w:t>2</w:t>
      </w:r>
      <w:r w:rsidRPr="008F4B40">
        <w:rPr>
          <w:rFonts w:ascii="Palatino Linotype" w:eastAsia="Times New Roman" w:hAnsi="Palatino Linotype" w:cs="Times New Roman"/>
          <w:sz w:val="20"/>
          <w:szCs w:val="20"/>
        </w:rPr>
        <w:t>HPO</w:t>
      </w:r>
      <w:r w:rsidRPr="008F4B40">
        <w:rPr>
          <w:rFonts w:ascii="Palatino Linotype" w:eastAsia="Times New Roman" w:hAnsi="Palatino Linotype" w:cs="Times New Roman"/>
          <w:sz w:val="20"/>
          <w:szCs w:val="20"/>
          <w:vertAlign w:val="subscript"/>
        </w:rPr>
        <w:t>4</w:t>
      </w:r>
      <w:r w:rsidRPr="008F4B40">
        <w:rPr>
          <w:rFonts w:ascii="Palatino Linotype" w:eastAsia="Times New Roman" w:hAnsi="Palatino Linotype" w:cs="Times New Roman"/>
          <w:sz w:val="20"/>
          <w:szCs w:val="20"/>
        </w:rPr>
        <w:t xml:space="preserve"> equals to 0.0253 </w:t>
      </w:r>
      <w:r w:rsidRPr="008F4B40">
        <w:rPr>
          <w:rFonts w:ascii="Palatino Linotype" w:eastAsia="Times New Roman" w:hAnsi="Palatino Linotype" w:cs="Times New Roman"/>
          <w:b/>
          <w:sz w:val="20"/>
          <w:szCs w:val="20"/>
        </w:rPr>
        <w:t>M</w:t>
      </w:r>
      <w:r w:rsidRPr="008F4B40">
        <w:rPr>
          <w:rFonts w:ascii="Palatino Linotype" w:eastAsia="Times New Roman" w:hAnsi="Palatino Linotype" w:cs="Times New Roman"/>
          <w:sz w:val="20"/>
          <w:szCs w:val="20"/>
        </w:rPr>
        <w:t xml:space="preserve"> </w:t>
      </w:r>
    </w:p>
    <w:p w:rsidR="008802B1" w:rsidRPr="008F4B40" w:rsidRDefault="008802B1" w:rsidP="008802B1">
      <w:pPr>
        <w:pStyle w:val="a7"/>
        <w:spacing w:line="360" w:lineRule="auto"/>
        <w:jc w:val="both"/>
        <w:rPr>
          <w:rFonts w:ascii="Palatino Linotype" w:eastAsia="Times New Roman" w:hAnsi="Palatino Linotype" w:cs="Times New Roman"/>
          <w:i/>
          <w:iCs/>
          <w:sz w:val="20"/>
          <w:szCs w:val="20"/>
        </w:rPr>
      </w:pPr>
      <w:r w:rsidRPr="008F4B40">
        <w:rPr>
          <w:rFonts w:ascii="Palatino Linotype" w:hAnsi="Palatino Linotype" w:cs="Times New Roman"/>
          <w:sz w:val="20"/>
          <w:szCs w:val="20"/>
          <w:shd w:val="clear" w:color="auto" w:fill="FFFFFF"/>
        </w:rPr>
        <w:t xml:space="preserve">By assuming both acids are co-produced in a fixed ratio according to HPLC measurements, we can estimate their relative contribution to the total hydronium ion pool. </w:t>
      </w:r>
      <w:r w:rsidRPr="008F4B40">
        <w:rPr>
          <w:rFonts w:ascii="Palatino Linotype" w:hAnsi="Palatino Linotype" w:cs="Times New Roman"/>
          <w:noProof/>
          <w:sz w:val="20"/>
          <w:szCs w:val="20"/>
          <w:shd w:val="clear" w:color="auto" w:fill="FFFFFF"/>
        </w:rPr>
        <w:t>Consequently,</w:t>
      </w:r>
      <w:r w:rsidRPr="008F4B40">
        <w:rPr>
          <w:rFonts w:ascii="Palatino Linotype" w:hAnsi="Palatino Linotype" w:cs="Times New Roman"/>
          <w:sz w:val="20"/>
          <w:szCs w:val="20"/>
          <w:shd w:val="clear" w:color="auto" w:fill="FFFFFF"/>
        </w:rPr>
        <w:t xml:space="preserve"> the concentrations of the acids</w:t>
      </w:r>
      <w:r w:rsidRPr="008F4B40">
        <w:rPr>
          <w:rFonts w:ascii="Palatino Linotype" w:eastAsia="Times New Roman" w:hAnsi="Palatino Linotype" w:cs="Times New Roman"/>
          <w:sz w:val="20"/>
          <w:szCs w:val="20"/>
        </w:rPr>
        <w:t xml:space="preserve"> can be estimation from the concentrations of hydronium ions dissociated from them </w:t>
      </w:r>
      <w:r w:rsidRPr="008F4B40">
        <w:rPr>
          <w:rFonts w:ascii="Palatino Linotype" w:hAnsi="Palatino Linotype" w:cs="Times New Roman"/>
          <w:sz w:val="20"/>
          <w:szCs w:val="20"/>
          <w:shd w:val="clear" w:color="auto" w:fill="FFFFFF"/>
        </w:rPr>
        <w:t xml:space="preserve">(See the derivation procedures in </w:t>
      </w:r>
      <w:hyperlink w:anchor="_Appendix_A3_-" w:history="1">
        <w:r w:rsidRPr="00FD02D4">
          <w:rPr>
            <w:rStyle w:val="aff0"/>
            <w:rFonts w:ascii="Palatino Linotype" w:hAnsi="Palatino Linotype" w:cs="Times New Roman"/>
            <w:color w:val="C00000"/>
            <w:sz w:val="20"/>
            <w:szCs w:val="20"/>
            <w:u w:val="none"/>
            <w:shd w:val="clear" w:color="auto" w:fill="FFFFFF"/>
          </w:rPr>
          <w:t>Appendix A</w:t>
        </w:r>
        <w:r w:rsidR="00FD02D4" w:rsidRPr="00FD02D4">
          <w:rPr>
            <w:rStyle w:val="aff0"/>
            <w:rFonts w:ascii="Palatino Linotype" w:hAnsi="Palatino Linotype" w:cs="Times New Roman"/>
            <w:color w:val="C00000"/>
            <w:sz w:val="20"/>
            <w:szCs w:val="20"/>
            <w:u w:val="none"/>
            <w:shd w:val="clear" w:color="auto" w:fill="FFFFFF"/>
          </w:rPr>
          <w:t>2</w:t>
        </w:r>
      </w:hyperlink>
      <w:r w:rsidRPr="008F4B40">
        <w:rPr>
          <w:rFonts w:ascii="Palatino Linotype" w:hAnsi="Palatino Linotype" w:cs="Times New Roman"/>
          <w:sz w:val="20"/>
          <w:szCs w:val="20"/>
          <w:shd w:val="clear" w:color="auto" w:fill="FFFFFF"/>
        </w:rPr>
        <w:t>):</w:t>
      </w:r>
      <w:r w:rsidRPr="008F4B40">
        <w:rPr>
          <w:rFonts w:ascii="Palatino Linotype" w:eastAsia="Times New Roman" w:hAnsi="Palatino Linotype" w:cs="Times New Roman"/>
          <w:sz w:val="20"/>
          <w:szCs w:val="20"/>
        </w:rPr>
        <w:t xml:space="preserve"> </w:t>
      </w:r>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33302D" w:rsidP="008802B1">
            <w:pPr>
              <w:pStyle w:val="a7"/>
              <w:rPr>
                <w:rFonts w:ascii="Palatino Linotype" w:hAnsi="Palatino Linotype" w:cs="Times New Roman"/>
                <w:i/>
                <w:noProof/>
                <w:sz w:val="20"/>
                <w:szCs w:val="20"/>
              </w:rPr>
            </w:pPr>
            <m:oMathPara>
              <m:oMath>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w:rPr>
                        <w:rFonts w:ascii="Cambria Math" w:hAnsi="Cambria Math" w:cs="Times New Roman"/>
                        <w:noProof/>
                        <w:sz w:val="20"/>
                        <w:szCs w:val="20"/>
                      </w:rPr>
                      <m:t>Acid</m:t>
                    </m:r>
                  </m:sub>
                </m:sSub>
                <m:r>
                  <w:rPr>
                    <w:rFonts w:ascii="Cambria Math" w:hAnsi="Cambria Math" w:cs="Times New Roman"/>
                    <w:noProof/>
                    <w:sz w:val="20"/>
                    <w:szCs w:val="20"/>
                  </w:rPr>
                  <m:t>=</m:t>
                </m:r>
                <m:d>
                  <m:dPr>
                    <m:ctrlPr>
                      <w:rPr>
                        <w:rFonts w:ascii="Cambria Math" w:hAnsi="Cambria Math" w:cs="Times New Roman"/>
                        <w:noProof/>
                        <w:sz w:val="20"/>
                        <w:szCs w:val="20"/>
                      </w:rPr>
                    </m:ctrlPr>
                  </m:dPr>
                  <m:e>
                    <m:f>
                      <m:fPr>
                        <m:ctrlPr>
                          <w:rPr>
                            <w:rFonts w:ascii="Cambria Math" w:hAnsi="Cambria Math" w:cs="Times New Roman"/>
                            <w:noProof/>
                            <w:sz w:val="20"/>
                            <w:szCs w:val="20"/>
                          </w:rPr>
                        </m:ctrlPr>
                      </m:fPr>
                      <m:num>
                        <m:sSub>
                          <m:sSubPr>
                            <m:ctrlPr>
                              <w:rPr>
                                <w:rFonts w:ascii="Cambria Math" w:hAnsi="Cambria Math" w:cs="Times New Roman"/>
                                <w:noProof/>
                                <w:sz w:val="20"/>
                                <w:szCs w:val="20"/>
                              </w:rPr>
                            </m:ctrlPr>
                          </m:sSubPr>
                          <m:e>
                            <m:d>
                              <m:dPr>
                                <m:begChr m:val="["/>
                                <m:endChr m:val="]"/>
                                <m:ctrlPr>
                                  <w:rPr>
                                    <w:rFonts w:ascii="Cambria Math" w:hAnsi="Cambria Math" w:cs="Times New Roman"/>
                                    <w:noProof/>
                                    <w:sz w:val="20"/>
                                    <w:szCs w:val="20"/>
                                  </w:rPr>
                                </m:ctrlPr>
                              </m:dPr>
                              <m:e>
                                <m:sSup>
                                  <m:sSupPr>
                                    <m:ctrlPr>
                                      <w:rPr>
                                        <w:rFonts w:ascii="Cambria Math" w:hAnsi="Cambria Math" w:cs="Times New Roman"/>
                                        <w:noProof/>
                                        <w:sz w:val="20"/>
                                        <w:szCs w:val="20"/>
                                      </w:rPr>
                                    </m:ctrlPr>
                                  </m:sSupPr>
                                  <m:e>
                                    <m:sSub>
                                      <m:sSubPr>
                                        <m:ctrlPr>
                                          <w:rPr>
                                            <w:rFonts w:ascii="Cambria Math" w:hAnsi="Cambria Math" w:cs="Times New Roman"/>
                                            <w:noProof/>
                                            <w:sz w:val="20"/>
                                            <w:szCs w:val="20"/>
                                          </w:rPr>
                                        </m:ctrlPr>
                                      </m:sSubPr>
                                      <m:e>
                                        <m:r>
                                          <w:rPr>
                                            <w:rFonts w:ascii="Cambria Math" w:hAnsi="Cambria Math" w:cs="Times New Roman"/>
                                            <w:noProof/>
                                            <w:sz w:val="20"/>
                                            <w:szCs w:val="20"/>
                                          </w:rPr>
                                          <m:t>H</m:t>
                                        </m:r>
                                      </m:e>
                                      <m:sub>
                                        <m:r>
                                          <w:rPr>
                                            <w:rFonts w:ascii="Cambria Math" w:hAnsi="Cambria Math" w:cs="Times New Roman"/>
                                            <w:noProof/>
                                            <w:sz w:val="20"/>
                                            <w:szCs w:val="20"/>
                                          </w:rPr>
                                          <m:t>3</m:t>
                                        </m:r>
                                      </m:sub>
                                    </m:sSub>
                                    <m:r>
                                      <w:rPr>
                                        <w:rFonts w:ascii="Cambria Math" w:hAnsi="Cambria Math" w:cs="Times New Roman"/>
                                        <w:noProof/>
                                        <w:sz w:val="20"/>
                                        <w:szCs w:val="20"/>
                                      </w:rPr>
                                      <m:t>O</m:t>
                                    </m:r>
                                  </m:e>
                                  <m:sup>
                                    <m:r>
                                      <w:rPr>
                                        <w:rFonts w:ascii="Cambria Math" w:hAnsi="Cambria Math" w:cs="Times New Roman"/>
                                        <w:noProof/>
                                        <w:sz w:val="20"/>
                                        <w:szCs w:val="20"/>
                                      </w:rPr>
                                      <m:t>+</m:t>
                                    </m:r>
                                  </m:sup>
                                </m:sSup>
                              </m:e>
                            </m:d>
                          </m:e>
                          <m:sub>
                            <m:r>
                              <w:rPr>
                                <w:rFonts w:ascii="Cambria Math" w:hAnsi="Cambria Math" w:cs="Times New Roman"/>
                                <w:noProof/>
                                <w:sz w:val="20"/>
                                <w:szCs w:val="20"/>
                              </w:rPr>
                              <m:t>Acid</m:t>
                            </m:r>
                          </m:sub>
                        </m:sSub>
                      </m:num>
                      <m:den>
                        <m:r>
                          <w:rPr>
                            <w:rFonts w:ascii="Cambria Math" w:hAnsi="Cambria Math" w:cs="Times New Roman"/>
                            <w:noProof/>
                            <w:sz w:val="20"/>
                            <w:szCs w:val="20"/>
                          </w:rPr>
                          <m:t>Ka</m:t>
                        </m:r>
                      </m:den>
                    </m:f>
                    <m:r>
                      <w:rPr>
                        <w:rFonts w:ascii="Cambria Math" w:hAnsi="Cambria Math" w:cs="Times New Roman"/>
                        <w:noProof/>
                        <w:sz w:val="20"/>
                        <w:szCs w:val="20"/>
                      </w:rPr>
                      <m:t>+1</m:t>
                    </m:r>
                  </m:e>
                </m:d>
                <m:r>
                  <w:rPr>
                    <w:rFonts w:ascii="Cambria Math" w:hAnsi="Cambria Math" w:cs="Times New Roman"/>
                    <w:noProof/>
                    <w:sz w:val="20"/>
                    <w:szCs w:val="20"/>
                  </w:rPr>
                  <m:t>×</m:t>
                </m:r>
                <m:sSub>
                  <m:sSubPr>
                    <m:ctrlPr>
                      <w:rPr>
                        <w:rFonts w:ascii="Cambria Math" w:hAnsi="Cambria Math" w:cs="Times New Roman"/>
                        <w:noProof/>
                        <w:sz w:val="20"/>
                        <w:szCs w:val="20"/>
                      </w:rPr>
                    </m:ctrlPr>
                  </m:sSubPr>
                  <m:e>
                    <m:d>
                      <m:dPr>
                        <m:begChr m:val="["/>
                        <m:endChr m:val="]"/>
                        <m:ctrlPr>
                          <w:rPr>
                            <w:rFonts w:ascii="Cambria Math" w:hAnsi="Cambria Math" w:cs="Times New Roman"/>
                            <w:noProof/>
                            <w:sz w:val="20"/>
                            <w:szCs w:val="20"/>
                          </w:rPr>
                        </m:ctrlPr>
                      </m:dPr>
                      <m:e>
                        <m:sSup>
                          <m:sSupPr>
                            <m:ctrlPr>
                              <w:rPr>
                                <w:rFonts w:ascii="Cambria Math" w:hAnsi="Cambria Math" w:cs="Times New Roman"/>
                                <w:noProof/>
                                <w:sz w:val="20"/>
                                <w:szCs w:val="20"/>
                              </w:rPr>
                            </m:ctrlPr>
                          </m:sSupPr>
                          <m:e>
                            <m:sSub>
                              <m:sSubPr>
                                <m:ctrlPr>
                                  <w:rPr>
                                    <w:rFonts w:ascii="Cambria Math" w:hAnsi="Cambria Math" w:cs="Times New Roman"/>
                                    <w:noProof/>
                                    <w:sz w:val="20"/>
                                    <w:szCs w:val="20"/>
                                  </w:rPr>
                                </m:ctrlPr>
                              </m:sSubPr>
                              <m:e>
                                <m:r>
                                  <w:rPr>
                                    <w:rFonts w:ascii="Cambria Math" w:hAnsi="Cambria Math" w:cs="Times New Roman"/>
                                    <w:noProof/>
                                    <w:sz w:val="20"/>
                                    <w:szCs w:val="20"/>
                                  </w:rPr>
                                  <m:t>H</m:t>
                                </m:r>
                              </m:e>
                              <m:sub>
                                <m:r>
                                  <w:rPr>
                                    <w:rFonts w:ascii="Cambria Math" w:hAnsi="Cambria Math" w:cs="Times New Roman"/>
                                    <w:noProof/>
                                    <w:sz w:val="20"/>
                                    <w:szCs w:val="20"/>
                                  </w:rPr>
                                  <m:t>3</m:t>
                                </m:r>
                              </m:sub>
                            </m:sSub>
                            <m:r>
                              <w:rPr>
                                <w:rFonts w:ascii="Cambria Math" w:hAnsi="Cambria Math" w:cs="Times New Roman"/>
                                <w:noProof/>
                                <w:sz w:val="20"/>
                                <w:szCs w:val="20"/>
                              </w:rPr>
                              <m:t>O</m:t>
                            </m:r>
                          </m:e>
                          <m:sup>
                            <m:r>
                              <w:rPr>
                                <w:rFonts w:ascii="Cambria Math" w:hAnsi="Cambria Math" w:cs="Times New Roman"/>
                                <w:noProof/>
                                <w:sz w:val="20"/>
                                <w:szCs w:val="20"/>
                              </w:rPr>
                              <m:t>+</m:t>
                            </m:r>
                          </m:sup>
                        </m:sSup>
                      </m:e>
                    </m:d>
                  </m:e>
                  <m:sub>
                    <m:r>
                      <w:rPr>
                        <w:rFonts w:ascii="Cambria Math" w:hAnsi="Cambria Math" w:cs="Times New Roman"/>
                        <w:noProof/>
                        <w:sz w:val="20"/>
                        <w:szCs w:val="20"/>
                      </w:rPr>
                      <m:t>Acid</m:t>
                    </m:r>
                  </m:sub>
                </m:sSub>
                <m:r>
                  <w:rPr>
                    <w:rFonts w:ascii="Cambria Math" w:hAnsi="Cambria Math" w:cs="Times New Roman"/>
                    <w:noProof/>
                    <w:sz w:val="20"/>
                    <w:szCs w:val="20"/>
                  </w:rPr>
                  <m:t>×</m:t>
                </m:r>
                <m:sSub>
                  <m:sSubPr>
                    <m:ctrlPr>
                      <w:rPr>
                        <w:rFonts w:ascii="Cambria Math" w:hAnsi="Cambria Math" w:cs="Times New Roman"/>
                        <w:noProof/>
                        <w:sz w:val="20"/>
                        <w:szCs w:val="20"/>
                      </w:rPr>
                    </m:ctrlPr>
                  </m:sSubPr>
                  <m:e>
                    <m:r>
                      <w:rPr>
                        <w:rFonts w:ascii="Cambria Math" w:hAnsi="Cambria Math" w:cs="Times New Roman"/>
                        <w:noProof/>
                        <w:sz w:val="20"/>
                        <w:szCs w:val="20"/>
                      </w:rPr>
                      <m:t>M</m:t>
                    </m:r>
                  </m:e>
                  <m:sub>
                    <m:r>
                      <w:rPr>
                        <w:rFonts w:ascii="Cambria Math" w:hAnsi="Cambria Math" w:cs="Times New Roman"/>
                        <w:noProof/>
                        <w:sz w:val="20"/>
                        <w:szCs w:val="20"/>
                      </w:rPr>
                      <m:t>w</m:t>
                    </m:r>
                  </m:sub>
                </m:sSub>
              </m:oMath>
            </m:oMathPara>
          </w:p>
        </w:tc>
        <w:tc>
          <w:tcPr>
            <w:tcW w:w="819" w:type="pct"/>
            <w:vAlign w:val="center"/>
          </w:tcPr>
          <w:p w:rsidR="008802B1" w:rsidRPr="008F4B40" w:rsidRDefault="000C1C45" w:rsidP="000C1C45">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Eq.1</w:t>
            </w:r>
            <w:r w:rsidR="008802B1" w:rsidRPr="008F4B40">
              <w:rPr>
                <w:rFonts w:ascii="Palatino Linotype" w:hAnsi="Palatino Linotype" w:cs="Times New Roman"/>
                <w:sz w:val="20"/>
                <w:szCs w:val="20"/>
                <w:shd w:val="clear" w:color="auto" w:fill="FFFFFF"/>
              </w:rPr>
              <w:t>2</w:t>
            </w:r>
          </w:p>
        </w:tc>
      </w:tr>
    </w:tbl>
    <w:p w:rsidR="008802B1" w:rsidRPr="008F4B40" w:rsidRDefault="008802B1" w:rsidP="008802B1">
      <w:pPr>
        <w:autoSpaceDE w:val="0"/>
        <w:autoSpaceDN w:val="0"/>
        <w:adjustRightInd w:val="0"/>
        <w:spacing w:after="0" w:line="360" w:lineRule="auto"/>
        <w:jc w:val="both"/>
        <w:rPr>
          <w:rFonts w:ascii="Palatino Linotype" w:hAnsi="Palatino Linotype" w:cs="Times New Roman"/>
          <w:i/>
          <w:noProof/>
          <w:sz w:val="20"/>
          <w:szCs w:val="20"/>
          <w:shd w:val="clear" w:color="auto" w:fill="FFFFFF"/>
        </w:rPr>
      </w:pPr>
      <w:r w:rsidRPr="008F4B40">
        <w:rPr>
          <w:rFonts w:ascii="Palatino Linotype" w:hAnsi="Palatino Linotype" w:cs="Times New Roman"/>
          <w:noProof/>
          <w:sz w:val="20"/>
          <w:szCs w:val="20"/>
          <w:shd w:val="clear" w:color="auto" w:fill="FFFFFF"/>
        </w:rPr>
        <w:t>Where:</w:t>
      </w:r>
      <w:r w:rsidR="00E3332A" w:rsidRPr="008F4B40">
        <w:rPr>
          <w:rFonts w:ascii="Palatino Linotype" w:hAnsi="Palatino Linotype" w:cs="Times New Roman"/>
          <w:noProof/>
          <w:sz w:val="20"/>
          <w:szCs w:val="20"/>
          <w:shd w:val="clear" w:color="auto" w:fill="FFFFFF"/>
        </w:rPr>
        <w:t xml:space="preserve">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noProof/>
          <w:sz w:val="20"/>
          <w:szCs w:val="20"/>
          <w:shd w:val="clear" w:color="auto" w:fill="FFFFFF"/>
        </w:rPr>
      </w:pPr>
      <w:r w:rsidRPr="008F4B40">
        <w:rPr>
          <w:rFonts w:ascii="Palatino Linotype" w:hAnsi="Palatino Linotype" w:cs="Times New Roman"/>
          <w:noProof/>
          <w:sz w:val="20"/>
          <w:szCs w:val="20"/>
        </w:rPr>
        <w:t xml:space="preserve">The constant Ka equals </w:t>
      </w:r>
      <w:r w:rsidRPr="008F4B40">
        <w:rPr>
          <w:rFonts w:ascii="Palatino Linotype" w:eastAsia="Times New Roman" w:hAnsi="Palatino Linotype" w:cs="Times New Roman"/>
          <w:sz w:val="20"/>
          <w:szCs w:val="20"/>
        </w:rPr>
        <w:t>3.981</w:t>
      </w:r>
      <w:bookmarkStart w:id="41" w:name="OLE_LINK160"/>
      <w:r w:rsidRPr="008F4B40">
        <w:rPr>
          <w:rFonts w:ascii="Palatino Linotype" w:eastAsia="Times New Roman" w:hAnsi="Palatino Linotype" w:cs="Times New Roman"/>
          <w:sz w:val="20"/>
          <w:szCs w:val="20"/>
        </w:rPr>
        <w:t>×10</w:t>
      </w:r>
      <w:r w:rsidRPr="008F4B40">
        <w:rPr>
          <w:rFonts w:ascii="Palatino Linotype" w:eastAsia="Times New Roman" w:hAnsi="Palatino Linotype" w:cs="Times New Roman"/>
          <w:sz w:val="20"/>
          <w:szCs w:val="20"/>
          <w:vertAlign w:val="superscript"/>
        </w:rPr>
        <w:t>-4</w:t>
      </w:r>
      <w:r w:rsidRPr="008F4B40">
        <w:rPr>
          <w:rFonts w:ascii="Palatino Linotype" w:eastAsia="Times New Roman" w:hAnsi="Palatino Linotype" w:cs="Times New Roman"/>
          <w:sz w:val="20"/>
          <w:szCs w:val="20"/>
        </w:rPr>
        <w:t xml:space="preserve"> </w:t>
      </w:r>
      <w:bookmarkEnd w:id="41"/>
      <w:r w:rsidRPr="008F4B40">
        <w:rPr>
          <w:rFonts w:ascii="Palatino Linotype" w:eastAsia="Times New Roman" w:hAnsi="Palatino Linotype" w:cs="Times New Roman"/>
          <w:sz w:val="20"/>
          <w:szCs w:val="20"/>
        </w:rPr>
        <w:t xml:space="preserve">for malic </w:t>
      </w:r>
      <w:r w:rsidRPr="008F4B40">
        <w:rPr>
          <w:rFonts w:ascii="Palatino Linotype" w:eastAsia="Times New Roman" w:hAnsi="Palatino Linotype" w:cs="Times New Roman"/>
          <w:noProof/>
          <w:sz w:val="20"/>
          <w:szCs w:val="20"/>
        </w:rPr>
        <w:t>acid</w:t>
      </w:r>
      <w:r w:rsidRPr="008F4B40">
        <w:rPr>
          <w:rFonts w:ascii="Palatino Linotype" w:eastAsia="Times New Roman" w:hAnsi="Palatino Linotype" w:cs="Times New Roman"/>
          <w:sz w:val="20"/>
          <w:szCs w:val="20"/>
        </w:rPr>
        <w:t xml:space="preserve"> and 1.738×10</w:t>
      </w:r>
      <w:r w:rsidRPr="008F4B40">
        <w:rPr>
          <w:rFonts w:ascii="Palatino Linotype" w:eastAsia="Times New Roman" w:hAnsi="Palatino Linotype" w:cs="Times New Roman"/>
          <w:sz w:val="20"/>
          <w:szCs w:val="20"/>
          <w:vertAlign w:val="superscript"/>
        </w:rPr>
        <w:t>-5</w:t>
      </w:r>
      <w:r w:rsidRPr="008F4B40">
        <w:rPr>
          <w:rFonts w:ascii="Palatino Linotype" w:eastAsia="Times New Roman" w:hAnsi="Palatino Linotype" w:cs="Times New Roman"/>
          <w:sz w:val="20"/>
          <w:szCs w:val="20"/>
        </w:rPr>
        <w:t xml:space="preserve"> for acetic acid </w:t>
      </w:r>
      <w:r w:rsidRPr="008F4B40">
        <w:rPr>
          <w:rFonts w:ascii="Palatino Linotype" w:eastAsia="Times New Roman" w:hAnsi="Palatino Linotype" w:cs="Times New Roman"/>
          <w:i/>
          <w:iCs/>
          <w:sz w:val="20"/>
          <w:szCs w:val="20"/>
        </w:rPr>
        <w:fldChar w:fldCharType="begin" w:fldLock="1"/>
      </w:r>
      <w:r w:rsidR="00AC7961" w:rsidRPr="008F4B40">
        <w:rPr>
          <w:rFonts w:ascii="Palatino Linotype" w:eastAsia="Times New Roman" w:hAnsi="Palatino Linotype" w:cs="Times New Roman"/>
          <w:sz w:val="20"/>
          <w:szCs w:val="20"/>
        </w:rPr>
        <w:instrText>ADDIN CSL_CITATION {"citationItems":[{"id":"ITEM-1","itemData":{"URL":"https://labs.chem.ucsb.edu/zhang/liming/pdf/pKas_of_Organic_Acids_and_Bases.pdf","accessed":{"date-parts":[["2015","2","25"]]},"author":[{"dropping-particle":"","family":"UC Santa Barbara","given":"","non-dropping-particle":"","parse-names":false,"suffix":""}],"id":"ITEM-1","issued":{"date-parts":[["0"]]},"title":"Dissociation Constants of Organic Acids and Bases","type":"webpage"},"uris":["http://www.mendeley.com/documents/?uuid=b314eca1-6772-445c-b9f0-47fe884b5c1d"]}],"mendeley":{"formattedCitation":"[2]","plainTextFormattedCitation":"[2]","previouslyFormattedCitation":"[2]"},"properties":{"noteIndex":0},"schema":"https://github.com/citation-style-language/schema/raw/master/csl-citation.json"}</w:instrText>
      </w:r>
      <w:r w:rsidRPr="008F4B40">
        <w:rPr>
          <w:rFonts w:ascii="Palatino Linotype" w:eastAsia="Times New Roman" w:hAnsi="Palatino Linotype" w:cs="Times New Roman"/>
          <w:i/>
          <w:iCs/>
          <w:sz w:val="20"/>
          <w:szCs w:val="20"/>
        </w:rPr>
        <w:fldChar w:fldCharType="separate"/>
      </w:r>
      <w:r w:rsidRPr="008F4B40">
        <w:rPr>
          <w:rFonts w:ascii="Palatino Linotype" w:eastAsia="Times New Roman" w:hAnsi="Palatino Linotype" w:cs="Times New Roman"/>
          <w:noProof/>
          <w:sz w:val="20"/>
          <w:szCs w:val="20"/>
        </w:rPr>
        <w:t>[2]</w:t>
      </w:r>
      <w:r w:rsidRPr="008F4B40">
        <w:rPr>
          <w:rFonts w:ascii="Palatino Linotype" w:eastAsia="Times New Roman" w:hAnsi="Palatino Linotype" w:cs="Times New Roman"/>
          <w:i/>
          <w:iCs/>
          <w:sz w:val="20"/>
          <w:szCs w:val="20"/>
        </w:rPr>
        <w:fldChar w:fldCharType="end"/>
      </w:r>
      <w:r w:rsidRPr="008F4B40">
        <w:rPr>
          <w:rFonts w:ascii="Palatino Linotype" w:hAnsi="Palatino Linotype" w:cs="Times New Roman"/>
          <w:noProof/>
          <w:sz w:val="20"/>
          <w:szCs w:val="20"/>
        </w:rPr>
        <w:t xml:space="preserve">. Mw the molecular weight, equals to 134.1 </w:t>
      </w:r>
      <w:bookmarkStart w:id="42" w:name="OLE_LINK494"/>
      <w:bookmarkStart w:id="43" w:name="OLE_LINK495"/>
      <w:r w:rsidRPr="008F4B40">
        <w:rPr>
          <w:rFonts w:ascii="Palatino Linotype" w:hAnsi="Palatino Linotype" w:cs="Times New Roman"/>
          <w:noProof/>
          <w:sz w:val="20"/>
          <w:szCs w:val="20"/>
        </w:rPr>
        <w:t>g/mol</w:t>
      </w:r>
      <w:bookmarkEnd w:id="42"/>
      <w:bookmarkEnd w:id="43"/>
      <w:r w:rsidRPr="008F4B40">
        <w:rPr>
          <w:rFonts w:ascii="Palatino Linotype" w:hAnsi="Palatino Linotype" w:cs="Times New Roman"/>
          <w:noProof/>
          <w:sz w:val="20"/>
          <w:szCs w:val="20"/>
        </w:rPr>
        <w:t xml:space="preserve"> for malic acid, and 60.0 g/mol for acetic acid.</w:t>
      </w:r>
    </w:p>
    <w:p w:rsidR="008802B1" w:rsidRPr="008F4B40" w:rsidRDefault="008802B1" w:rsidP="008802B1">
      <w:pPr>
        <w:pStyle w:val="a7"/>
        <w:spacing w:line="360" w:lineRule="auto"/>
        <w:jc w:val="both"/>
        <w:rPr>
          <w:rFonts w:ascii="Palatino Linotype" w:hAnsi="Palatino Linotype" w:cs="Times New Roman"/>
          <w:i/>
          <w:noProof/>
          <w:sz w:val="20"/>
          <w:szCs w:val="20"/>
        </w:rPr>
      </w:pPr>
      <w:r w:rsidRPr="008F4B40">
        <w:rPr>
          <w:rFonts w:ascii="Palatino Linotype" w:hAnsi="Palatino Linotype" w:cs="Times New Roman"/>
          <w:noProof/>
          <w:sz w:val="20"/>
          <w:szCs w:val="20"/>
        </w:rPr>
        <w:t xml:space="preserve">Overall, with pH values, the remaining nitrogen concentrations, as well as the mass/molar ratios between malic and acetic acid produced, the concentrations of both acids can be re-estimated. As an example, Figure </w:t>
      </w:r>
      <w:r w:rsidR="00437BC5" w:rsidRPr="008F4B40">
        <w:rPr>
          <w:rFonts w:ascii="Palatino Linotype" w:hAnsi="Palatino Linotype" w:cs="Times New Roman"/>
          <w:noProof/>
          <w:sz w:val="20"/>
          <w:szCs w:val="20"/>
        </w:rPr>
        <w:t>3</w:t>
      </w:r>
      <w:r w:rsidRPr="008F4B40">
        <w:rPr>
          <w:rFonts w:ascii="Palatino Linotype" w:hAnsi="Palatino Linotype" w:cs="Times New Roman"/>
          <w:noProof/>
          <w:sz w:val="20"/>
          <w:szCs w:val="20"/>
        </w:rPr>
        <w:t xml:space="preserve"> demonstrates the comparison between the original HPLC data and the adjusted acid concentration profiles from </w:t>
      </w:r>
      <w:r w:rsidRPr="008F4B40">
        <w:rPr>
          <w:rFonts w:ascii="Palatino Linotype" w:hAnsi="Palatino Linotype" w:cs="Times New Roman"/>
          <w:sz w:val="20"/>
          <w:szCs w:val="20"/>
          <w:shd w:val="clear" w:color="auto" w:fill="FFFFFF"/>
        </w:rPr>
        <w:t>a bioreactor batch experiment (initial glycerol concentration: 60 g/l)</w:t>
      </w:r>
      <w:r w:rsidRPr="008F4B40">
        <w:rPr>
          <w:rFonts w:ascii="Palatino Linotype" w:hAnsi="Palatino Linotype" w:cs="Times New Roman"/>
          <w:noProof/>
          <w:sz w:val="20"/>
          <w:szCs w:val="20"/>
        </w:rPr>
        <w:t>. The adjustment was performed by assuming that malic and acetic acid are co-produced at a ratio of 3:2 on a mass basis, as obs</w:t>
      </w:r>
      <w:r w:rsidR="00437BC5" w:rsidRPr="008F4B40">
        <w:rPr>
          <w:rFonts w:ascii="Palatino Linotype" w:hAnsi="Palatino Linotype" w:cs="Times New Roman"/>
          <w:noProof/>
          <w:sz w:val="20"/>
          <w:szCs w:val="20"/>
        </w:rPr>
        <w:t xml:space="preserve">erved in the </w:t>
      </w:r>
      <w:r w:rsidR="00437BC5" w:rsidRPr="008F4B40">
        <w:rPr>
          <w:rFonts w:ascii="Palatino Linotype" w:hAnsi="Palatino Linotype" w:cs="Times New Roman"/>
          <w:noProof/>
          <w:sz w:val="20"/>
          <w:szCs w:val="20"/>
        </w:rPr>
        <w:lastRenderedPageBreak/>
        <w:t>experiment</w:t>
      </w:r>
      <w:r w:rsidRPr="008F4B40">
        <w:rPr>
          <w:rFonts w:ascii="Palatino Linotype" w:hAnsi="Palatino Linotype" w:cs="Times New Roman"/>
          <w:noProof/>
          <w:sz w:val="20"/>
          <w:szCs w:val="20"/>
        </w:rPr>
        <w:t xml:space="preserve">. Though in reality, production of malic acid and acetic acid may well occur at slightly different ratios throughout the fermentation, they cannot be identified clearly from the HPLC results of the acids which are compromised severely by background noises due to their low concentrations in the samples. Therefore, approximating the acid concentrations using pH values is more sensible than using the HPLC data directly. The profiles of pH and nitrogen for the example batch experiment are shown in Figure </w:t>
      </w:r>
      <w:r w:rsidR="000C1C45" w:rsidRPr="008F4B40">
        <w:rPr>
          <w:rFonts w:ascii="Palatino Linotype" w:hAnsi="Palatino Linotype" w:cs="Times New Roman"/>
          <w:noProof/>
          <w:sz w:val="20"/>
          <w:szCs w:val="20"/>
        </w:rPr>
        <w:t>4</w:t>
      </w:r>
      <w:r w:rsidRPr="008F4B40">
        <w:rPr>
          <w:rFonts w:ascii="Palatino Linotype" w:hAnsi="Palatino Linotype" w:cs="Times New Roman"/>
          <w:noProof/>
          <w:sz w:val="20"/>
          <w:szCs w:val="20"/>
        </w:rPr>
        <w:t>, which shows the rate of pH drop drastically increased as soon as the nitrogen source was depleted and acids production started. Compared to the original HPLC data, the adjusted profiles are apparently more meaningful and allow for di</w:t>
      </w:r>
      <w:r w:rsidR="000C1C45" w:rsidRPr="008F4B40">
        <w:rPr>
          <w:rFonts w:ascii="Palatino Linotype" w:hAnsi="Palatino Linotype" w:cs="Times New Roman"/>
          <w:noProof/>
          <w:sz w:val="20"/>
          <w:szCs w:val="20"/>
        </w:rPr>
        <w:t>rect flux estimations</w:t>
      </w:r>
      <w:r w:rsidRPr="008F4B40">
        <w:rPr>
          <w:rFonts w:ascii="Palatino Linotype" w:hAnsi="Palatino Linotype" w:cs="Times New Roman"/>
          <w:noProof/>
          <w:sz w:val="20"/>
          <w:szCs w:val="20"/>
        </w:rPr>
        <w:t>.</w:t>
      </w:r>
    </w:p>
    <w:p w:rsidR="008802B1" w:rsidRPr="008F4B40" w:rsidRDefault="008802B1" w:rsidP="000C1C45">
      <w:pPr>
        <w:pStyle w:val="a7"/>
        <w:keepNext/>
        <w:jc w:val="center"/>
        <w:rPr>
          <w:rFonts w:ascii="Palatino Linotype" w:hAnsi="Palatino Linotype" w:cs="Times New Roman"/>
          <w:sz w:val="20"/>
          <w:szCs w:val="20"/>
        </w:rPr>
      </w:pPr>
      <w:r w:rsidRPr="008F4B40">
        <w:rPr>
          <w:rFonts w:ascii="Palatino Linotype" w:hAnsi="Palatino Linotype" w:cs="Times New Roman"/>
          <w:noProof/>
          <w:sz w:val="20"/>
          <w:szCs w:val="20"/>
        </w:rPr>
        <w:drawing>
          <wp:inline distT="0" distB="0" distL="0" distR="0" wp14:anchorId="2C0EB136" wp14:editId="4AB141E7">
            <wp:extent cx="2757831" cy="2318918"/>
            <wp:effectExtent l="0" t="0" r="23495" b="24765"/>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8F4B40">
        <w:rPr>
          <w:rFonts w:ascii="Palatino Linotype" w:hAnsi="Palatino Linotype" w:cs="Times New Roman"/>
          <w:noProof/>
          <w:sz w:val="20"/>
          <w:szCs w:val="20"/>
        </w:rPr>
        <w:drawing>
          <wp:inline distT="0" distB="0" distL="0" distR="0" wp14:anchorId="0D3A1A3B" wp14:editId="090CFEB6">
            <wp:extent cx="2757831" cy="2318918"/>
            <wp:effectExtent l="0" t="0" r="23495" b="24765"/>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802B1" w:rsidRPr="008F4B40" w:rsidRDefault="000C1C45" w:rsidP="008802B1">
      <w:pPr>
        <w:pStyle w:val="af"/>
        <w:spacing w:after="0"/>
        <w:jc w:val="center"/>
        <w:rPr>
          <w:rFonts w:ascii="Palatino Linotype" w:hAnsi="Palatino Linotype" w:cs="Times New Roman"/>
          <w:b w:val="0"/>
          <w:i/>
          <w:color w:val="auto"/>
          <w:sz w:val="20"/>
          <w:szCs w:val="20"/>
          <w:shd w:val="clear" w:color="auto" w:fill="FFFFFF"/>
        </w:rPr>
      </w:pPr>
      <w:bookmarkStart w:id="44" w:name="_Toc500722197"/>
      <w:r w:rsidRPr="008F4B40">
        <w:rPr>
          <w:rFonts w:ascii="Palatino Linotype" w:hAnsi="Palatino Linotype" w:cs="Times New Roman"/>
          <w:b w:val="0"/>
          <w:color w:val="auto"/>
          <w:sz w:val="20"/>
          <w:szCs w:val="20"/>
        </w:rPr>
        <w:t xml:space="preserve">Figure </w:t>
      </w:r>
      <w:r w:rsidR="008802B1" w:rsidRPr="008F4B40">
        <w:rPr>
          <w:rFonts w:ascii="Palatino Linotype" w:hAnsi="Palatino Linotype" w:cs="Times New Roman"/>
          <w:b w:val="0"/>
          <w:i/>
          <w:color w:val="auto"/>
          <w:sz w:val="20"/>
          <w:szCs w:val="20"/>
        </w:rPr>
        <w:fldChar w:fldCharType="begin"/>
      </w:r>
      <w:r w:rsidR="008802B1" w:rsidRPr="008F4B40">
        <w:rPr>
          <w:rFonts w:ascii="Palatino Linotype" w:hAnsi="Palatino Linotype" w:cs="Times New Roman"/>
          <w:b w:val="0"/>
          <w:color w:val="auto"/>
          <w:sz w:val="20"/>
          <w:szCs w:val="20"/>
        </w:rPr>
        <w:instrText xml:space="preserve"> SEQ Figure \* ARABIC \s 1 </w:instrText>
      </w:r>
      <w:r w:rsidR="008802B1" w:rsidRPr="008F4B40">
        <w:rPr>
          <w:rFonts w:ascii="Palatino Linotype" w:hAnsi="Palatino Linotype" w:cs="Times New Roman"/>
          <w:b w:val="0"/>
          <w:i/>
          <w:color w:val="auto"/>
          <w:sz w:val="20"/>
          <w:szCs w:val="20"/>
        </w:rPr>
        <w:fldChar w:fldCharType="separate"/>
      </w:r>
      <w:r w:rsidRPr="008F4B40">
        <w:rPr>
          <w:rFonts w:ascii="Palatino Linotype" w:hAnsi="Palatino Linotype" w:cs="Times New Roman"/>
          <w:b w:val="0"/>
          <w:noProof/>
          <w:color w:val="auto"/>
          <w:sz w:val="20"/>
          <w:szCs w:val="20"/>
        </w:rPr>
        <w:t>3</w:t>
      </w:r>
      <w:r w:rsidR="008802B1" w:rsidRPr="008F4B40">
        <w:rPr>
          <w:rFonts w:ascii="Palatino Linotype" w:hAnsi="Palatino Linotype" w:cs="Times New Roman"/>
          <w:b w:val="0"/>
          <w:i/>
          <w:color w:val="auto"/>
          <w:sz w:val="20"/>
          <w:szCs w:val="20"/>
        </w:rPr>
        <w:fldChar w:fldCharType="end"/>
      </w:r>
      <w:r w:rsidR="008802B1" w:rsidRPr="008F4B40">
        <w:rPr>
          <w:rFonts w:ascii="Palatino Linotype" w:hAnsi="Palatino Linotype" w:cs="Times New Roman"/>
          <w:b w:val="0"/>
          <w:color w:val="auto"/>
          <w:sz w:val="20"/>
          <w:szCs w:val="20"/>
        </w:rPr>
        <w:t xml:space="preserve"> – </w:t>
      </w:r>
      <w:r w:rsidR="008802B1" w:rsidRPr="008F4B40">
        <w:rPr>
          <w:rFonts w:ascii="Palatino Linotype" w:hAnsi="Palatino Linotype" w:cs="Times New Roman"/>
          <w:b w:val="0"/>
          <w:color w:val="auto"/>
          <w:sz w:val="20"/>
          <w:szCs w:val="20"/>
          <w:shd w:val="clear" w:color="auto" w:fill="FFFFFF"/>
        </w:rPr>
        <w:t>Concentration profiles of malic and acetic acid (blue lines) derived from pH measurements along with the original HPLC data (red dots).</w:t>
      </w:r>
      <w:bookmarkEnd w:id="44"/>
    </w:p>
    <w:p w:rsidR="008802B1" w:rsidRPr="008F4B40" w:rsidRDefault="008802B1" w:rsidP="008802B1">
      <w:pPr>
        <w:pStyle w:val="a7"/>
        <w:keepNext/>
        <w:jc w:val="center"/>
        <w:rPr>
          <w:rFonts w:ascii="Palatino Linotype" w:hAnsi="Palatino Linotype" w:cs="Times New Roman"/>
          <w:sz w:val="20"/>
          <w:szCs w:val="20"/>
        </w:rPr>
      </w:pPr>
      <w:r w:rsidRPr="008F4B40">
        <w:rPr>
          <w:rFonts w:ascii="Palatino Linotype" w:hAnsi="Palatino Linotype" w:cs="Times New Roman"/>
          <w:noProof/>
          <w:sz w:val="20"/>
          <w:szCs w:val="20"/>
        </w:rPr>
        <w:drawing>
          <wp:inline distT="0" distB="0" distL="0" distR="0" wp14:anchorId="52944536" wp14:editId="1D301232">
            <wp:extent cx="2975357" cy="2325781"/>
            <wp:effectExtent l="0" t="0" r="15875" b="1778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802B1" w:rsidRPr="008F4B40" w:rsidRDefault="008802B1" w:rsidP="008802B1">
      <w:pPr>
        <w:pStyle w:val="af"/>
        <w:spacing w:after="0"/>
        <w:jc w:val="center"/>
        <w:rPr>
          <w:rFonts w:ascii="Palatino Linotype" w:hAnsi="Palatino Linotype" w:cs="Times New Roman"/>
          <w:b w:val="0"/>
          <w:i/>
          <w:color w:val="auto"/>
          <w:sz w:val="20"/>
          <w:szCs w:val="20"/>
          <w:shd w:val="clear" w:color="auto" w:fill="FFFFFF"/>
        </w:rPr>
      </w:pPr>
      <w:bookmarkStart w:id="45" w:name="_Toc500722198"/>
      <w:r w:rsidRPr="008F4B40">
        <w:rPr>
          <w:rFonts w:ascii="Palatino Linotype" w:hAnsi="Palatino Linotype" w:cs="Times New Roman"/>
          <w:b w:val="0"/>
          <w:color w:val="auto"/>
          <w:sz w:val="20"/>
          <w:szCs w:val="20"/>
        </w:rPr>
        <w:t xml:space="preserve">Figure </w:t>
      </w:r>
      <w:r w:rsidRPr="008F4B40">
        <w:rPr>
          <w:rFonts w:ascii="Palatino Linotype" w:hAnsi="Palatino Linotype" w:cs="Times New Roman"/>
          <w:b w:val="0"/>
          <w:i/>
          <w:color w:val="auto"/>
          <w:sz w:val="20"/>
          <w:szCs w:val="20"/>
        </w:rPr>
        <w:fldChar w:fldCharType="begin"/>
      </w:r>
      <w:r w:rsidRPr="008F4B40">
        <w:rPr>
          <w:rFonts w:ascii="Palatino Linotype" w:hAnsi="Palatino Linotype" w:cs="Times New Roman"/>
          <w:b w:val="0"/>
          <w:color w:val="auto"/>
          <w:sz w:val="20"/>
          <w:szCs w:val="20"/>
        </w:rPr>
        <w:instrText xml:space="preserve"> SEQ Figure \* ARABIC \s 1 </w:instrText>
      </w:r>
      <w:r w:rsidRPr="008F4B40">
        <w:rPr>
          <w:rFonts w:ascii="Palatino Linotype" w:hAnsi="Palatino Linotype" w:cs="Times New Roman"/>
          <w:b w:val="0"/>
          <w:i/>
          <w:color w:val="auto"/>
          <w:sz w:val="20"/>
          <w:szCs w:val="20"/>
        </w:rPr>
        <w:fldChar w:fldCharType="separate"/>
      </w:r>
      <w:r w:rsidR="000C1C45" w:rsidRPr="008F4B40">
        <w:rPr>
          <w:rFonts w:ascii="Palatino Linotype" w:hAnsi="Palatino Linotype" w:cs="Times New Roman"/>
          <w:b w:val="0"/>
          <w:noProof/>
          <w:color w:val="auto"/>
          <w:sz w:val="20"/>
          <w:szCs w:val="20"/>
        </w:rPr>
        <w:t>4</w:t>
      </w:r>
      <w:r w:rsidRPr="008F4B40">
        <w:rPr>
          <w:rFonts w:ascii="Palatino Linotype" w:hAnsi="Palatino Linotype" w:cs="Times New Roman"/>
          <w:b w:val="0"/>
          <w:i/>
          <w:color w:val="auto"/>
          <w:sz w:val="20"/>
          <w:szCs w:val="20"/>
        </w:rPr>
        <w:fldChar w:fldCharType="end"/>
      </w:r>
      <w:r w:rsidRPr="008F4B40">
        <w:rPr>
          <w:rFonts w:ascii="Palatino Linotype" w:hAnsi="Palatino Linotype" w:cs="Times New Roman"/>
          <w:b w:val="0"/>
          <w:color w:val="auto"/>
          <w:sz w:val="20"/>
          <w:szCs w:val="20"/>
        </w:rPr>
        <w:t xml:space="preserve"> </w:t>
      </w:r>
      <w:r w:rsidRPr="008F4B40">
        <w:rPr>
          <w:rFonts w:ascii="Palatino Linotype" w:hAnsi="Palatino Linotype" w:cs="Times New Roman"/>
          <w:b w:val="0"/>
          <w:noProof/>
          <w:color w:val="auto"/>
          <w:sz w:val="20"/>
          <w:szCs w:val="20"/>
        </w:rPr>
        <w:t xml:space="preserve">– Profiles of pH and nitrogen concentration in </w:t>
      </w:r>
      <w:r w:rsidRPr="008F4B40">
        <w:rPr>
          <w:rFonts w:ascii="Palatino Linotype" w:hAnsi="Palatino Linotype" w:cs="Times New Roman"/>
          <w:b w:val="0"/>
          <w:color w:val="auto"/>
          <w:sz w:val="20"/>
          <w:szCs w:val="20"/>
          <w:shd w:val="clear" w:color="auto" w:fill="FFFFFF"/>
        </w:rPr>
        <w:t>a batch experiment (initial glycerol concentration: 60 g/l)</w:t>
      </w:r>
      <w:bookmarkEnd w:id="45"/>
      <w:r w:rsidR="00E3332A" w:rsidRPr="008F4B40">
        <w:rPr>
          <w:rFonts w:ascii="Palatino Linotype" w:hAnsi="Palatino Linotype" w:cs="Times New Roman"/>
          <w:b w:val="0"/>
          <w:color w:val="auto"/>
          <w:sz w:val="20"/>
          <w:szCs w:val="20"/>
          <w:shd w:val="clear" w:color="auto" w:fill="FFFFFF"/>
        </w:rPr>
        <w:t xml:space="preserve"> </w:t>
      </w:r>
    </w:p>
    <w:p w:rsidR="008802B1" w:rsidRPr="008F4B40" w:rsidRDefault="008802B1" w:rsidP="00F315E9">
      <w:pPr>
        <w:pStyle w:val="3"/>
        <w:numPr>
          <w:ilvl w:val="1"/>
          <w:numId w:val="33"/>
        </w:numPr>
        <w:spacing w:before="0"/>
        <w:rPr>
          <w:rFonts w:ascii="Palatino Linotype" w:hAnsi="Palatino Linotype" w:cs="Times New Roman"/>
          <w:color w:val="auto"/>
          <w:sz w:val="20"/>
          <w:szCs w:val="20"/>
        </w:rPr>
      </w:pPr>
      <w:bookmarkStart w:id="46" w:name="_Toc500722091"/>
      <w:bookmarkStart w:id="47" w:name="_Toc38967968"/>
      <w:r w:rsidRPr="008F4B40">
        <w:rPr>
          <w:rFonts w:ascii="Palatino Linotype" w:hAnsi="Palatino Linotype" w:cs="Times New Roman"/>
          <w:color w:val="auto"/>
          <w:sz w:val="20"/>
          <w:szCs w:val="20"/>
        </w:rPr>
        <w:t>Determination of volumetric mass transfer coefficient (kLa)</w:t>
      </w:r>
      <w:bookmarkEnd w:id="46"/>
      <w:bookmarkEnd w:id="47"/>
    </w:p>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noProof/>
          <w:sz w:val="20"/>
          <w:szCs w:val="20"/>
          <w:shd w:val="clear" w:color="auto" w:fill="FFFFFF"/>
        </w:rPr>
        <w:t>kLa</w:t>
      </w:r>
      <w:r w:rsidRPr="008F4B40">
        <w:rPr>
          <w:rFonts w:ascii="Palatino Linotype" w:hAnsi="Palatino Linotype" w:cs="Times New Roman"/>
          <w:sz w:val="20"/>
          <w:szCs w:val="20"/>
          <w:shd w:val="clear" w:color="auto" w:fill="FFFFFF"/>
        </w:rPr>
        <w:t xml:space="preserve">, the volumetric mass transfer coefficient, is a measure of the aeration effectiveness of the system, The value of kLa can greatly affect the rate of oxygen transfer and subsequently the performance of aerobic </w:t>
      </w:r>
      <w:r w:rsidRPr="008F4B40">
        <w:rPr>
          <w:rFonts w:ascii="Palatino Linotype" w:hAnsi="Palatino Linotype" w:cs="Times New Roman"/>
          <w:sz w:val="20"/>
          <w:szCs w:val="20"/>
          <w:shd w:val="clear" w:color="auto" w:fill="FFFFFF"/>
        </w:rPr>
        <w:lastRenderedPageBreak/>
        <w:t xml:space="preserve">fermentation. In order to get a quantitative understanding of the effect of agitation speed and air flow rate on the efficiency of aeration, determination of </w:t>
      </w:r>
      <w:r w:rsidRPr="008F4B40">
        <w:rPr>
          <w:rFonts w:ascii="Palatino Linotype" w:hAnsi="Palatino Linotype" w:cs="Times New Roman"/>
          <w:noProof/>
          <w:sz w:val="20"/>
          <w:szCs w:val="20"/>
          <w:shd w:val="clear" w:color="auto" w:fill="FFFFFF"/>
        </w:rPr>
        <w:t>kLa</w:t>
      </w:r>
      <w:r w:rsidRPr="008F4B40">
        <w:rPr>
          <w:rFonts w:ascii="Palatino Linotype" w:hAnsi="Palatino Linotype" w:cs="Times New Roman"/>
          <w:sz w:val="20"/>
          <w:szCs w:val="20"/>
          <w:shd w:val="clear" w:color="auto" w:fill="FFFFFF"/>
        </w:rPr>
        <w:t xml:space="preserve"> is highly necessary. There are a number of ways to determine kLa, such as sulphite oxidation method, gassing-out method and oxygen-balance techniques </w:t>
      </w:r>
      <w:r w:rsidRPr="008F4B40">
        <w:rPr>
          <w:rFonts w:ascii="Palatino Linotype" w:hAnsi="Palatino Linotype" w:cs="Times New Roman"/>
          <w:i/>
          <w:sz w:val="20"/>
          <w:szCs w:val="20"/>
          <w:shd w:val="clear" w:color="auto" w:fill="FFFFFF"/>
        </w:rPr>
        <w:fldChar w:fldCharType="begin" w:fldLock="1"/>
      </w:r>
      <w:r w:rsidR="00AC7961" w:rsidRPr="008F4B40">
        <w:rPr>
          <w:rFonts w:ascii="Palatino Linotype" w:hAnsi="Palatino Linotype" w:cs="Times New Roman"/>
          <w:sz w:val="20"/>
          <w:szCs w:val="20"/>
          <w:shd w:val="clear" w:color="auto" w:fill="FFFFFF"/>
        </w:rPr>
        <w:instrText>ADDIN CSL_CITATION {"citationItems":[{"id":"ITEM-1","itemData":{"DOI":"10.1002/bit.260460412","ISBN":"0006-3592","ISSN":"0006-3592","PMID":"18623326","abstract":"There are many dynamic methods for measuring the vol-umetric mass transfer coefficient. The \" gas out-gas in \" method can directly determine the volumetric m a s s transfer coefficient in a bioreactor system and provide estimates of the volumetric microbial oxygen uptake rate and the average oxygen saturation concentration at the gas-liquid interface. The errors on these parameters are large if the dissolved oxygen probe response time is not considered. For reliable measurements, deconvolution of the oxygen probe measurements must be made. o","author":[{"dropping-particle":"","family":"Tribe","given":"L A","non-dropping-particle":"","parse-names":false,"suffix":""},{"dropping-particle":"","family":"Briens","given":"C L","non-dropping-particle":"","parse-names":false,"suffix":""},{"dropping-particle":"","family":"Margaritis","given":"A","non-dropping-particle":"","parse-names":false,"suffix":""}],"container-title":"Biotechnology and Bioengineering","id":"ITEM-1","issue":"4","issued":{"date-parts":[["1995"]]},"page":"388-392","title":"Determination of the Volumetric Mass Transfer Coefficient (kLa) Using the Dynamic \"Gas Out-Gas In\" Method: Analysis of Errors Caused by Dissolved Oxygen Probes","type":"article-journal","volume":"46"},"uris":["http://www.mendeley.com/documents/?uuid=fdeb6691-3d1b-4d3a-a85f-5722609f3eb1"]}],"mendeley":{"formattedCitation":"[3]","plainTextFormattedCitation":"[3]","previouslyFormattedCitation":"[3]"},"properties":{"noteIndex":0},"schema":"https://github.com/citation-style-language/schema/raw/master/csl-citation.json"}</w:instrText>
      </w:r>
      <w:r w:rsidRPr="008F4B40">
        <w:rPr>
          <w:rFonts w:ascii="Palatino Linotype" w:hAnsi="Palatino Linotype" w:cs="Times New Roman"/>
          <w:i/>
          <w:sz w:val="20"/>
          <w:szCs w:val="20"/>
          <w:shd w:val="clear" w:color="auto" w:fill="FFFFFF"/>
        </w:rPr>
        <w:fldChar w:fldCharType="separate"/>
      </w:r>
      <w:r w:rsidRPr="008F4B40">
        <w:rPr>
          <w:rFonts w:ascii="Palatino Linotype" w:hAnsi="Palatino Linotype" w:cs="Times New Roman"/>
          <w:noProof/>
          <w:sz w:val="20"/>
          <w:szCs w:val="20"/>
          <w:shd w:val="clear" w:color="auto" w:fill="FFFFFF"/>
        </w:rPr>
        <w:t>[3]</w:t>
      </w:r>
      <w:r w:rsidRPr="008F4B40">
        <w:rPr>
          <w:rFonts w:ascii="Palatino Linotype" w:hAnsi="Palatino Linotype" w:cs="Times New Roman"/>
          <w:i/>
          <w:sz w:val="20"/>
          <w:szCs w:val="20"/>
          <w:shd w:val="clear" w:color="auto" w:fill="FFFFFF"/>
        </w:rPr>
        <w:fldChar w:fldCharType="end"/>
      </w:r>
      <w:r w:rsidRPr="008F4B40">
        <w:rPr>
          <w:rFonts w:ascii="Palatino Linotype" w:hAnsi="Palatino Linotype" w:cs="Times New Roman"/>
          <w:sz w:val="20"/>
          <w:szCs w:val="20"/>
          <w:shd w:val="clear" w:color="auto" w:fill="FFFFFF"/>
        </w:rPr>
        <w:t xml:space="preserve">. Amongst them, the </w:t>
      </w:r>
      <w:r w:rsidRPr="008F4B40">
        <w:rPr>
          <w:rFonts w:ascii="Palatino Linotype" w:hAnsi="Palatino Linotype" w:cs="Times New Roman"/>
          <w:noProof/>
          <w:sz w:val="20"/>
          <w:szCs w:val="20"/>
          <w:shd w:val="clear" w:color="auto" w:fill="FFFFFF"/>
        </w:rPr>
        <w:t>dynamic</w:t>
      </w:r>
      <w:r w:rsidRPr="008F4B40">
        <w:rPr>
          <w:rFonts w:ascii="Palatino Linotype" w:hAnsi="Palatino Linotype" w:cs="Times New Roman"/>
          <w:sz w:val="20"/>
          <w:szCs w:val="20"/>
          <w:shd w:val="clear" w:color="auto" w:fill="FFFFFF"/>
        </w:rPr>
        <w:t xml:space="preserve"> gassing-out method was used in this work, as it allows for faster and simpler determination of </w:t>
      </w:r>
      <w:r w:rsidRPr="008F4B40">
        <w:rPr>
          <w:rFonts w:ascii="Palatino Linotype" w:hAnsi="Palatino Linotype" w:cs="Times New Roman"/>
          <w:noProof/>
          <w:sz w:val="20"/>
          <w:szCs w:val="20"/>
          <w:shd w:val="clear" w:color="auto" w:fill="FFFFFF"/>
        </w:rPr>
        <w:t>kLa</w:t>
      </w:r>
      <w:r w:rsidRPr="008F4B40">
        <w:rPr>
          <w:rFonts w:ascii="Palatino Linotype" w:hAnsi="Palatino Linotype" w:cs="Times New Roman"/>
          <w:sz w:val="20"/>
          <w:szCs w:val="20"/>
          <w:shd w:val="clear" w:color="auto" w:fill="FFFFFF"/>
        </w:rPr>
        <w:t xml:space="preserve"> at different stages of the </w:t>
      </w:r>
      <w:r w:rsidRPr="008F4B40">
        <w:rPr>
          <w:rFonts w:ascii="Palatino Linotype" w:hAnsi="Palatino Linotype" w:cs="Times New Roman"/>
          <w:noProof/>
          <w:sz w:val="20"/>
          <w:szCs w:val="20"/>
          <w:shd w:val="clear" w:color="auto" w:fill="FFFFFF"/>
        </w:rPr>
        <w:t>fermentation</w:t>
      </w:r>
      <w:r w:rsidRPr="008F4B40">
        <w:rPr>
          <w:rFonts w:ascii="Palatino Linotype" w:hAnsi="Palatino Linotype" w:cs="Times New Roman"/>
          <w:sz w:val="20"/>
          <w:szCs w:val="20"/>
          <w:shd w:val="clear" w:color="auto" w:fill="FFFFFF"/>
        </w:rPr>
        <w:t xml:space="preserve"> while requiring no chemical reagents or additional instruments other than an oxygen probe.</w:t>
      </w:r>
    </w:p>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Prior to </w:t>
      </w:r>
      <w:r w:rsidRPr="008F4B40">
        <w:rPr>
          <w:rFonts w:ascii="Palatino Linotype" w:hAnsi="Palatino Linotype" w:cs="Times New Roman"/>
          <w:noProof/>
          <w:sz w:val="20"/>
          <w:szCs w:val="20"/>
          <w:shd w:val="clear" w:color="auto" w:fill="FFFFFF"/>
        </w:rPr>
        <w:t>kLa</w:t>
      </w:r>
      <w:r w:rsidRPr="008F4B40">
        <w:rPr>
          <w:rFonts w:ascii="Palatino Linotype" w:hAnsi="Palatino Linotype" w:cs="Times New Roman"/>
          <w:sz w:val="20"/>
          <w:szCs w:val="20"/>
          <w:shd w:val="clear" w:color="auto" w:fill="FFFFFF"/>
        </w:rPr>
        <w:t xml:space="preserve"> determination, it is worth introducing two governing mass balance equations for aeration in the cell culture. First, the equation for the rate of oxygen mass transfer from gaseous phase (bubble) to liquid phase (culture medium) is described as </w:t>
      </w:r>
      <w:bookmarkStart w:id="48" w:name="OLE_LINK496"/>
      <w:bookmarkStart w:id="49" w:name="OLE_LINK497"/>
      <w:r w:rsidRPr="008F4B40">
        <w:rPr>
          <w:rFonts w:ascii="Palatino Linotype" w:hAnsi="Palatino Linotype" w:cs="Times New Roman"/>
          <w:i/>
          <w:sz w:val="20"/>
          <w:szCs w:val="20"/>
          <w:shd w:val="clear" w:color="auto" w:fill="FFFFFF"/>
        </w:rPr>
        <w:fldChar w:fldCharType="begin" w:fldLock="1"/>
      </w:r>
      <w:r w:rsidR="00AC7961" w:rsidRPr="008F4B40">
        <w:rPr>
          <w:rFonts w:ascii="Palatino Linotype" w:hAnsi="Palatino Linotype" w:cs="Times New Roman"/>
          <w:sz w:val="20"/>
          <w:szCs w:val="20"/>
          <w:shd w:val="clear" w:color="auto" w:fill="FFFFFF"/>
        </w:rPr>
        <w:instrText>ADDIN CSL_CITATION {"citationItems":[{"id":"ITEM-1","itemData":{"DOI":"10.1016/j.biotechadv.2008.10.006","ISBN":"1873-1899 (Electronic)\\n0734-9750 (Linking)","ISSN":"07349750","PMID":"19041387","abstract":"In aerobic bioprocesses, oxygen is a key substrate; due to its low solubility in broths (aqueous solutions), a continuous supply is needed. The oxygen transfer rate (OTR) must be known, and if possible predicted to achieve an optimum design operation and scale-up of bioreactors. Many studies have been conducted to enhance the efficiency of oxygen transfer. The dissolved oxygen concentration in a suspension of aerobic microorganisms depends on the rate of oxygen transfer from the gas phase to the liquid, on the rate at which oxygen is transported into the cells (where it is consumed), and on the oxygen uptake rate (OUR) by the microorganism for growth, maintenance and production. The gas-liquid mass transfer in a bioprocess is strongly influenced by the hydrodynamic conditions in the bioreactors. These conditions are known to be a function of energy dissipation that depends on the operational conditions, the physicochemical properties of the culture, the geometrical parameters of the bioreactor and also on the presence of oxygen consuming cells. Stirred tank and bubble column (of various types) bioreactors are widely used in a large variety of bioprocesses (such as aerobic fermentation and biological wastewater treatments, among others). Stirred tanks bioreactors provide high values of mass and heat transfer rates and excellent mixing. In these systems, a high number of variables affect the mass transfer and mixing, but the most important among them are stirrer speed, type and number of stirrers and gas flow rate used. In bubble columns and airlifts, the low-shear environment compared to the stirred tanks has enabled successful cultivation of shear sensitive and filamentous cells. Oxygen transfer is often the rate-limiting step in the aerobic bioprocess due to the low solubility of oxygen in the medium. The correct measurement and/or prediction of the volumetric mass transfer coefficient, (kLa), is a crucial step in the design, operation and scale-up of bioreactors. The present work is aimed at the reviewing of the oxygen transfer rate (OTR) in bioprocesses to provide a better knowledge about the selection, design, scale-up and development of bioreactors. First, the most used measuring methods are revised; then the main empirical equations, including those using dimensionless numbers, are considered. The possible increasing on OTR due to the oxygen consumption by the cells is taken into account through the use of the biological enhancement factor. Theore…","author":[{"dropping-particle":"","family":"Garcia-Ochoa","given":"Felix","non-dropping-particle":"","parse-names":false,"suffix":""},{"dropping-particle":"","family":"Gomez","given":"Emilio","non-dropping-particle":"","parse-names":false,"suffix":""}],"container-title":"Biotechnology Advances","id":"ITEM-1","issue":"2","issued":{"date-parts":[["2009"]]},"page":"153-176","publisher":"Elsevier Inc.","title":"Bioreactor scale-up and oxygen transfer rate in microbial processes: An overview","type":"article-journal","volume":"27"},"uris":["http://www.mendeley.com/documents/?uuid=148a5b89-a7f2-4fff-bab9-da3810005b27"]}],"mendeley":{"formattedCitation":"[4]","plainTextFormattedCitation":"[4]","previouslyFormattedCitation":"[4]"},"properties":{"noteIndex":0},"schema":"https://github.com/citation-style-language/schema/raw/master/csl-citation.json"}</w:instrText>
      </w:r>
      <w:r w:rsidRPr="008F4B40">
        <w:rPr>
          <w:rFonts w:ascii="Palatino Linotype" w:hAnsi="Palatino Linotype" w:cs="Times New Roman"/>
          <w:i/>
          <w:sz w:val="20"/>
          <w:szCs w:val="20"/>
          <w:shd w:val="clear" w:color="auto" w:fill="FFFFFF"/>
        </w:rPr>
        <w:fldChar w:fldCharType="separate"/>
      </w:r>
      <w:r w:rsidRPr="008F4B40">
        <w:rPr>
          <w:rFonts w:ascii="Palatino Linotype" w:hAnsi="Palatino Linotype" w:cs="Times New Roman"/>
          <w:noProof/>
          <w:sz w:val="20"/>
          <w:szCs w:val="20"/>
          <w:shd w:val="clear" w:color="auto" w:fill="FFFFFF"/>
        </w:rPr>
        <w:t>[4]</w:t>
      </w:r>
      <w:r w:rsidRPr="008F4B40">
        <w:rPr>
          <w:rFonts w:ascii="Palatino Linotype" w:hAnsi="Palatino Linotype" w:cs="Times New Roman"/>
          <w:i/>
          <w:sz w:val="20"/>
          <w:szCs w:val="20"/>
          <w:shd w:val="clear" w:color="auto" w:fill="FFFFFF"/>
        </w:rPr>
        <w:fldChar w:fldCharType="end"/>
      </w:r>
      <w:bookmarkEnd w:id="48"/>
      <w:bookmarkEnd w:id="49"/>
      <w:r w:rsidRPr="008F4B40">
        <w:rPr>
          <w:rFonts w:ascii="Palatino Linotype" w:hAnsi="Palatino Linotype" w:cs="Times New Roman"/>
          <w:sz w:val="20"/>
          <w:szCs w:val="20"/>
          <w:shd w:val="clear" w:color="auto" w:fill="FFFFFF"/>
        </w:rPr>
        <w:t>:</w:t>
      </w:r>
      <w:r w:rsidR="00E3332A" w:rsidRPr="008F4B40">
        <w:rPr>
          <w:rFonts w:ascii="Palatino Linotype" w:hAnsi="Palatino Linotype" w:cs="Times New Roman"/>
          <w:sz w:val="20"/>
          <w:szCs w:val="20"/>
          <w:shd w:val="clear" w:color="auto" w:fill="FFFFFF"/>
        </w:rPr>
        <w:t xml:space="preserve"> </w:t>
      </w:r>
    </w:p>
    <w:tbl>
      <w:tblPr>
        <w:tblW w:w="5000" w:type="pct"/>
        <w:tblLook w:val="04A0" w:firstRow="1" w:lastRow="0" w:firstColumn="1" w:lastColumn="0" w:noHBand="0" w:noVBand="1"/>
      </w:tblPr>
      <w:tblGrid>
        <w:gridCol w:w="8304"/>
        <w:gridCol w:w="1658"/>
      </w:tblGrid>
      <w:tr w:rsidR="008802B1" w:rsidRPr="008F4B40" w:rsidTr="008802B1">
        <w:tc>
          <w:tcPr>
            <w:tcW w:w="4168" w:type="pct"/>
          </w:tcPr>
          <w:p w:rsidR="008802B1" w:rsidRPr="008F4B40" w:rsidRDefault="008802B1" w:rsidP="008802B1">
            <w:pPr>
              <w:spacing w:after="0" w:line="360" w:lineRule="auto"/>
              <w:jc w:val="both"/>
              <w:rPr>
                <w:rFonts w:ascii="Palatino Linotype" w:hAnsi="Palatino Linotype" w:cs="Times New Roman"/>
                <w:sz w:val="20"/>
                <w:szCs w:val="20"/>
              </w:rPr>
            </w:pPr>
            <m:oMathPara>
              <m:oMath>
                <m:r>
                  <w:rPr>
                    <w:rFonts w:ascii="Cambria Math" w:hAnsi="Cambria Math" w:cs="Times New Roman"/>
                    <w:sz w:val="20"/>
                    <w:szCs w:val="20"/>
                    <w:shd w:val="clear" w:color="auto" w:fill="FFFFFF"/>
                  </w:rPr>
                  <m:t>OTR=kLa(</m:t>
                </m:r>
                <m:sSubSup>
                  <m:sSubSupPr>
                    <m:ctrlPr>
                      <w:rPr>
                        <w:rFonts w:ascii="Cambria Math" w:hAnsi="Cambria Math" w:cs="Times New Roman"/>
                        <w:sz w:val="20"/>
                        <w:szCs w:val="20"/>
                        <w:shd w:val="clear" w:color="auto" w:fill="FFFFFF"/>
                      </w:rPr>
                    </m:ctrlPr>
                  </m:sSubSup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DO</m:t>
                    </m:r>
                  </m:sub>
                  <m:sup>
                    <m:r>
                      <w:rPr>
                        <w:rFonts w:ascii="Cambria Math" w:hAnsi="Cambria Math" w:cs="Times New Roman"/>
                        <w:sz w:val="20"/>
                        <w:szCs w:val="20"/>
                        <w:shd w:val="clear" w:color="auto" w:fill="FFFFFF"/>
                      </w:rPr>
                      <m:t>*</m:t>
                    </m:r>
                  </m:sup>
                </m:sSubSup>
                <m:r>
                  <w:rPr>
                    <w:rFonts w:ascii="Cambria Math" w:hAnsi="Cambria Math" w:cs="Times New Roman"/>
                    <w:sz w:val="20"/>
                    <w:szCs w:val="20"/>
                    <w:shd w:val="clear" w:color="auto" w:fill="FFFFFF"/>
                  </w:rPr>
                  <m:t>-</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DO</m:t>
                    </m:r>
                  </m:sub>
                </m:sSub>
                <m:r>
                  <w:rPr>
                    <w:rFonts w:ascii="Cambria Math" w:hAnsi="Cambria Math" w:cs="Times New Roman"/>
                    <w:sz w:val="20"/>
                    <w:szCs w:val="20"/>
                    <w:shd w:val="clear" w:color="auto" w:fill="FFFFFF"/>
                  </w:rPr>
                  <m:t>)</m:t>
                </m:r>
              </m:oMath>
            </m:oMathPara>
          </w:p>
        </w:tc>
        <w:tc>
          <w:tcPr>
            <w:tcW w:w="832" w:type="pct"/>
          </w:tcPr>
          <w:p w:rsidR="008802B1" w:rsidRPr="008F4B40" w:rsidRDefault="000C1C45"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13</w:t>
            </w:r>
          </w:p>
        </w:tc>
      </w:tr>
    </w:tbl>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Where: </w:t>
      </w:r>
    </w:p>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OTR is the oxygen transfer rate </w:t>
      </w:r>
    </w:p>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C</w:t>
      </w:r>
      <w:r w:rsidRPr="008F4B40">
        <w:rPr>
          <w:rFonts w:ascii="Palatino Linotype" w:hAnsi="Palatino Linotype" w:cs="Times New Roman"/>
          <w:sz w:val="20"/>
          <w:szCs w:val="20"/>
          <w:shd w:val="clear" w:color="auto" w:fill="FFFFFF"/>
          <w:vertAlign w:val="subscript"/>
        </w:rPr>
        <w:t>DO</w:t>
      </w:r>
      <w:r w:rsidRPr="008F4B40">
        <w:rPr>
          <w:rFonts w:ascii="Palatino Linotype" w:hAnsi="Palatino Linotype" w:cs="Times New Roman"/>
          <w:sz w:val="20"/>
          <w:szCs w:val="20"/>
          <w:shd w:val="clear" w:color="auto" w:fill="FFFFFF"/>
          <w:vertAlign w:val="superscript"/>
        </w:rPr>
        <w:t>*</w:t>
      </w:r>
      <w:r w:rsidRPr="008F4B40">
        <w:rPr>
          <w:rFonts w:ascii="Palatino Linotype" w:hAnsi="Palatino Linotype" w:cs="Times New Roman"/>
          <w:sz w:val="20"/>
          <w:szCs w:val="20"/>
          <w:shd w:val="clear" w:color="auto" w:fill="FFFFFF"/>
        </w:rPr>
        <w:t xml:space="preserve"> and C</w:t>
      </w:r>
      <w:r w:rsidRPr="008F4B40">
        <w:rPr>
          <w:rFonts w:ascii="Palatino Linotype" w:hAnsi="Palatino Linotype" w:cs="Times New Roman"/>
          <w:sz w:val="20"/>
          <w:szCs w:val="20"/>
          <w:shd w:val="clear" w:color="auto" w:fill="FFFFFF"/>
          <w:vertAlign w:val="subscript"/>
        </w:rPr>
        <w:t>DO</w:t>
      </w:r>
      <w:r w:rsidRPr="008F4B40">
        <w:rPr>
          <w:rFonts w:ascii="Palatino Linotype" w:hAnsi="Palatino Linotype" w:cs="Times New Roman"/>
          <w:sz w:val="20"/>
          <w:szCs w:val="20"/>
          <w:shd w:val="clear" w:color="auto" w:fill="FFFFFF"/>
        </w:rPr>
        <w:t xml:space="preserve"> stand for the saturation concentration at the gas-liquid interface and the steady state concentration of dissolved oxygen in the medium, respectively. The term (C</w:t>
      </w:r>
      <w:r w:rsidRPr="008F4B40">
        <w:rPr>
          <w:rFonts w:ascii="Palatino Linotype" w:hAnsi="Palatino Linotype" w:cs="Times New Roman"/>
          <w:sz w:val="20"/>
          <w:szCs w:val="20"/>
          <w:shd w:val="clear" w:color="auto" w:fill="FFFFFF"/>
          <w:vertAlign w:val="subscript"/>
        </w:rPr>
        <w:t>DO</w:t>
      </w:r>
      <w:r w:rsidRPr="008F4B40">
        <w:rPr>
          <w:rFonts w:ascii="Palatino Linotype" w:hAnsi="Palatino Linotype" w:cs="Times New Roman"/>
          <w:sz w:val="20"/>
          <w:szCs w:val="20"/>
          <w:shd w:val="clear" w:color="auto" w:fill="FFFFFF"/>
          <w:vertAlign w:val="superscript"/>
        </w:rPr>
        <w:t>*</w:t>
      </w:r>
      <w:r w:rsidRPr="008F4B40">
        <w:rPr>
          <w:rFonts w:ascii="Palatino Linotype" w:hAnsi="Palatino Linotype" w:cs="Times New Roman"/>
          <w:sz w:val="20"/>
          <w:szCs w:val="20"/>
          <w:shd w:val="clear" w:color="auto" w:fill="FFFFFF"/>
        </w:rPr>
        <w:t>- C</w:t>
      </w:r>
      <w:r w:rsidRPr="008F4B40">
        <w:rPr>
          <w:rFonts w:ascii="Palatino Linotype" w:hAnsi="Palatino Linotype" w:cs="Times New Roman"/>
          <w:sz w:val="20"/>
          <w:szCs w:val="20"/>
          <w:shd w:val="clear" w:color="auto" w:fill="FFFFFF"/>
          <w:vertAlign w:val="subscript"/>
        </w:rPr>
        <w:t>DO</w:t>
      </w:r>
      <w:r w:rsidRPr="008F4B40">
        <w:rPr>
          <w:rFonts w:ascii="Palatino Linotype" w:hAnsi="Palatino Linotype" w:cs="Times New Roman"/>
          <w:sz w:val="20"/>
          <w:szCs w:val="20"/>
          <w:shd w:val="clear" w:color="auto" w:fill="FFFFFF"/>
        </w:rPr>
        <w:t>) defines the degree of oxygen deficit (i.e. driving force). This ensures that gas-liquid oxygen transfer can occur only if C</w:t>
      </w:r>
      <w:r w:rsidRPr="008F4B40">
        <w:rPr>
          <w:rFonts w:ascii="Palatino Linotype" w:hAnsi="Palatino Linotype" w:cs="Times New Roman"/>
          <w:sz w:val="20"/>
          <w:szCs w:val="20"/>
          <w:shd w:val="clear" w:color="auto" w:fill="FFFFFF"/>
          <w:vertAlign w:val="subscript"/>
        </w:rPr>
        <w:t>DO</w:t>
      </w:r>
      <w:r w:rsidRPr="008F4B40">
        <w:rPr>
          <w:rFonts w:ascii="Palatino Linotype" w:hAnsi="Palatino Linotype" w:cs="Times New Roman"/>
          <w:sz w:val="20"/>
          <w:szCs w:val="20"/>
          <w:shd w:val="clear" w:color="auto" w:fill="FFFFFF"/>
        </w:rPr>
        <w:t xml:space="preserve"> is smaller than C</w:t>
      </w:r>
      <w:r w:rsidRPr="008F4B40">
        <w:rPr>
          <w:rFonts w:ascii="Palatino Linotype" w:hAnsi="Palatino Linotype" w:cs="Times New Roman"/>
          <w:sz w:val="20"/>
          <w:szCs w:val="20"/>
          <w:shd w:val="clear" w:color="auto" w:fill="FFFFFF"/>
          <w:vertAlign w:val="subscript"/>
        </w:rPr>
        <w:t>DO</w:t>
      </w:r>
      <w:r w:rsidRPr="008F4B40">
        <w:rPr>
          <w:rFonts w:ascii="Palatino Linotype" w:hAnsi="Palatino Linotype" w:cs="Times New Roman"/>
          <w:sz w:val="20"/>
          <w:szCs w:val="20"/>
          <w:shd w:val="clear" w:color="auto" w:fill="FFFFFF"/>
          <w:vertAlign w:val="superscript"/>
        </w:rPr>
        <w:t>*</w:t>
      </w:r>
      <w:r w:rsidRPr="008F4B40">
        <w:rPr>
          <w:rFonts w:ascii="Palatino Linotype" w:hAnsi="Palatino Linotype" w:cs="Times New Roman"/>
          <w:sz w:val="20"/>
          <w:szCs w:val="20"/>
          <w:shd w:val="clear" w:color="auto" w:fill="FFFFFF"/>
        </w:rPr>
        <w:t>.</w:t>
      </w:r>
    </w:p>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Secondly, the rate of change of </w:t>
      </w:r>
      <w:bookmarkStart w:id="50" w:name="OLE_LINK242"/>
      <w:r w:rsidRPr="008F4B40">
        <w:rPr>
          <w:rFonts w:ascii="Palatino Linotype" w:hAnsi="Palatino Linotype" w:cs="Times New Roman"/>
          <w:sz w:val="20"/>
          <w:szCs w:val="20"/>
          <w:shd w:val="clear" w:color="auto" w:fill="FFFFFF"/>
        </w:rPr>
        <w:t xml:space="preserve">D.O. </w:t>
      </w:r>
      <w:bookmarkEnd w:id="50"/>
      <w:r w:rsidRPr="008F4B40">
        <w:rPr>
          <w:rFonts w:ascii="Palatino Linotype" w:hAnsi="Palatino Linotype" w:cs="Times New Roman"/>
          <w:sz w:val="20"/>
          <w:szCs w:val="20"/>
          <w:shd w:val="clear" w:color="auto" w:fill="FFFFFF"/>
        </w:rPr>
        <w:t xml:space="preserve">concentration in cell culture can be expressed by the following equation </w:t>
      </w:r>
      <w:r w:rsidRPr="008F4B40">
        <w:rPr>
          <w:rFonts w:ascii="Palatino Linotype" w:hAnsi="Palatino Linotype" w:cs="Times New Roman"/>
          <w:i/>
          <w:sz w:val="20"/>
          <w:szCs w:val="20"/>
          <w:shd w:val="clear" w:color="auto" w:fill="FFFFFF"/>
        </w:rPr>
        <w:fldChar w:fldCharType="begin" w:fldLock="1"/>
      </w:r>
      <w:r w:rsidR="00AC7961" w:rsidRPr="008F4B40">
        <w:rPr>
          <w:rFonts w:ascii="Palatino Linotype" w:hAnsi="Palatino Linotype" w:cs="Times New Roman"/>
          <w:sz w:val="20"/>
          <w:szCs w:val="20"/>
          <w:shd w:val="clear" w:color="auto" w:fill="FFFFFF"/>
        </w:rPr>
        <w:instrText>ADDIN CSL_CITATION {"citationItems":[{"id":"ITEM-1","itemData":{"DOI":"10.1016/j.biotechadv.2008.10.006","ISBN":"1873-1899 (Electronic)\\n0734-9750 (Linking)","ISSN":"07349750","PMID":"19041387","abstract":"In aerobic bioprocesses, oxygen is a key substrate; due to its low solubility in broths (aqueous solutions), a continuous supply is needed. The oxygen transfer rate (OTR) must be known, and if possible predicted to achieve an optimum design operation and scale-up of bioreactors. Many studies have been conducted to enhance the efficiency of oxygen transfer. The dissolved oxygen concentration in a suspension of aerobic microorganisms depends on the rate of oxygen transfer from the gas phase to the liquid, on the rate at which oxygen is transported into the cells (where it is consumed), and on the oxygen uptake rate (OUR) by the microorganism for growth, maintenance and production. The gas-liquid mass transfer in a bioprocess is strongly influenced by the hydrodynamic conditions in the bioreactors. These conditions are known to be a function of energy dissipation that depends on the operational conditions, the physicochemical properties of the culture, the geometrical parameters of the bioreactor and also on the presence of oxygen consuming cells. Stirred tank and bubble column (of various types) bioreactors are widely used in a large variety of bioprocesses (such as aerobic fermentation and biological wastewater treatments, among others). Stirred tanks bioreactors provide high values of mass and heat transfer rates and excellent mixing. In these systems, a high number of variables affect the mass transfer and mixing, but the most important among them are stirrer speed, type and number of stirrers and gas flow rate used. In bubble columns and airlifts, the low-shear environment compared to the stirred tanks has enabled successful cultivation of shear sensitive and filamentous cells. Oxygen transfer is often the rate-limiting step in the aerobic bioprocess due to the low solubility of oxygen in the medium. The correct measurement and/or prediction of the volumetric mass transfer coefficient, (kLa), is a crucial step in the design, operation and scale-up of bioreactors. The present work is aimed at the reviewing of the oxygen transfer rate (OTR) in bioprocesses to provide a better knowledge about the selection, design, scale-up and development of bioreactors. First, the most used measuring methods are revised; then the main empirical equations, including those using dimensionless numbers, are considered. The possible increasing on OTR due to the oxygen consumption by the cells is taken into account through the use of the biological enhancement factor. Theore…","author":[{"dropping-particle":"","family":"Garcia-Ochoa","given":"Felix","non-dropping-particle":"","parse-names":false,"suffix":""},{"dropping-particle":"","family":"Gomez","given":"Emilio","non-dropping-particle":"","parse-names":false,"suffix":""}],"container-title":"Biotechnology Advances","id":"ITEM-1","issue":"2","issued":{"date-parts":[["2009"]]},"page":"153-176","publisher":"Elsevier Inc.","title":"Bioreactor scale-up and oxygen transfer rate in microbial processes: An overview","type":"article-journal","volume":"27"},"uris":["http://www.mendeley.com/documents/?uuid=148a5b89-a7f2-4fff-bab9-da3810005b27"]}],"mendeley":{"formattedCitation":"[4]","plainTextFormattedCitation":"[4]","previouslyFormattedCitation":"[4]"},"properties":{"noteIndex":0},"schema":"https://github.com/citation-style-language/schema/raw/master/csl-citation.json"}</w:instrText>
      </w:r>
      <w:r w:rsidRPr="008F4B40">
        <w:rPr>
          <w:rFonts w:ascii="Palatino Linotype" w:hAnsi="Palatino Linotype" w:cs="Times New Roman"/>
          <w:i/>
          <w:sz w:val="20"/>
          <w:szCs w:val="20"/>
          <w:shd w:val="clear" w:color="auto" w:fill="FFFFFF"/>
        </w:rPr>
        <w:fldChar w:fldCharType="separate"/>
      </w:r>
      <w:r w:rsidRPr="008F4B40">
        <w:rPr>
          <w:rFonts w:ascii="Palatino Linotype" w:hAnsi="Palatino Linotype" w:cs="Times New Roman"/>
          <w:noProof/>
          <w:sz w:val="20"/>
          <w:szCs w:val="20"/>
          <w:shd w:val="clear" w:color="auto" w:fill="FFFFFF"/>
        </w:rPr>
        <w:t>[4]</w:t>
      </w:r>
      <w:r w:rsidRPr="008F4B40">
        <w:rPr>
          <w:rFonts w:ascii="Palatino Linotype" w:hAnsi="Palatino Linotype" w:cs="Times New Roman"/>
          <w:i/>
          <w:sz w:val="20"/>
          <w:szCs w:val="20"/>
          <w:shd w:val="clear" w:color="auto" w:fill="FFFFFF"/>
        </w:rPr>
        <w:fldChar w:fldCharType="end"/>
      </w:r>
      <w:r w:rsidRPr="008F4B40">
        <w:rPr>
          <w:rFonts w:ascii="Palatino Linotype" w:hAnsi="Palatino Linotype" w:cs="Times New Roman"/>
          <w:sz w:val="20"/>
          <w:szCs w:val="20"/>
          <w:shd w:val="clear" w:color="auto" w:fill="FFFFFF"/>
        </w:rPr>
        <w:t>:</w:t>
      </w:r>
    </w:p>
    <w:tbl>
      <w:tblPr>
        <w:tblW w:w="5000" w:type="pct"/>
        <w:tblLook w:val="04A0" w:firstRow="1" w:lastRow="0" w:firstColumn="1" w:lastColumn="0" w:noHBand="0" w:noVBand="1"/>
      </w:tblPr>
      <w:tblGrid>
        <w:gridCol w:w="8298"/>
        <w:gridCol w:w="1664"/>
      </w:tblGrid>
      <w:tr w:rsidR="008802B1" w:rsidRPr="008F4B40" w:rsidTr="008802B1">
        <w:tc>
          <w:tcPr>
            <w:tcW w:w="4165" w:type="pct"/>
          </w:tcPr>
          <w:p w:rsidR="008802B1" w:rsidRPr="008F4B40" w:rsidRDefault="0033302D" w:rsidP="008802B1">
            <w:pPr>
              <w:spacing w:after="0" w:line="360" w:lineRule="auto"/>
              <w:jc w:val="both"/>
              <w:rPr>
                <w:rFonts w:ascii="Palatino Linotype" w:hAnsi="Palatino Linotype" w:cs="Times New Roman"/>
                <w:sz w:val="20"/>
                <w:szCs w:val="20"/>
              </w:rPr>
            </w:pPr>
            <m:oMathPara>
              <m:oMath>
                <m:f>
                  <m:fPr>
                    <m:ctrlPr>
                      <w:rPr>
                        <w:rFonts w:ascii="Cambria Math" w:hAnsi="Cambria Math" w:cs="Times New Roman"/>
                        <w:sz w:val="20"/>
                        <w:szCs w:val="20"/>
                        <w:shd w:val="clear" w:color="auto" w:fill="FFFFFF"/>
                      </w:rPr>
                    </m:ctrlPr>
                  </m:fPr>
                  <m:num>
                    <m:r>
                      <w:rPr>
                        <w:rFonts w:ascii="Cambria Math" w:hAnsi="Cambria Math" w:cs="Times New Roman"/>
                        <w:sz w:val="20"/>
                        <w:szCs w:val="20"/>
                        <w:shd w:val="clear" w:color="auto" w:fill="FFFFFF"/>
                      </w:rPr>
                      <m:t>d</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DO</m:t>
                        </m:r>
                      </m:sub>
                    </m:sSub>
                  </m:num>
                  <m:den>
                    <m:r>
                      <w:rPr>
                        <w:rFonts w:ascii="Cambria Math" w:hAnsi="Cambria Math" w:cs="Times New Roman"/>
                        <w:sz w:val="20"/>
                        <w:szCs w:val="20"/>
                        <w:shd w:val="clear" w:color="auto" w:fill="FFFFFF"/>
                      </w:rPr>
                      <m:t>dt</m:t>
                    </m:r>
                  </m:den>
                </m:f>
                <m:r>
                  <w:rPr>
                    <w:rFonts w:ascii="Cambria Math" w:hAnsi="Cambria Math" w:cs="Times New Roman"/>
                    <w:sz w:val="20"/>
                    <w:szCs w:val="20"/>
                    <w:shd w:val="clear" w:color="auto" w:fill="FFFFFF"/>
                  </w:rPr>
                  <m:t>=OTR-OUR</m:t>
                </m:r>
              </m:oMath>
            </m:oMathPara>
          </w:p>
        </w:tc>
        <w:tc>
          <w:tcPr>
            <w:tcW w:w="835" w:type="pct"/>
          </w:tcPr>
          <w:p w:rsidR="008802B1" w:rsidRPr="008F4B40" w:rsidRDefault="000C1C45"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14</w:t>
            </w:r>
          </w:p>
        </w:tc>
      </w:tr>
    </w:tbl>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Where:</w:t>
      </w:r>
    </w:p>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OUR stands for the oxygen uptake rate</w:t>
      </w:r>
    </w:p>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Determination of kLa using the gassing-out method requires D.O. concentrations or equivalent values to be measured. Due to lack of a non-invasive and aseptic mean to measure D.O. in flask cultures, </w:t>
      </w:r>
      <w:r w:rsidRPr="008F4B40">
        <w:rPr>
          <w:rFonts w:ascii="Palatino Linotype" w:hAnsi="Palatino Linotype" w:cs="Times New Roman"/>
          <w:noProof/>
          <w:sz w:val="20"/>
          <w:szCs w:val="20"/>
          <w:shd w:val="clear" w:color="auto" w:fill="FFFFFF"/>
        </w:rPr>
        <w:t>kLa</w:t>
      </w:r>
      <w:r w:rsidRPr="008F4B40">
        <w:rPr>
          <w:rFonts w:ascii="Palatino Linotype" w:hAnsi="Palatino Linotype" w:cs="Times New Roman"/>
          <w:sz w:val="20"/>
          <w:szCs w:val="20"/>
          <w:shd w:val="clear" w:color="auto" w:fill="FFFFFF"/>
        </w:rPr>
        <w:t xml:space="preserve"> values </w:t>
      </w:r>
      <w:r w:rsidRPr="008F4B40">
        <w:rPr>
          <w:rFonts w:ascii="Palatino Linotype" w:hAnsi="Palatino Linotype" w:cs="Times New Roman"/>
          <w:noProof/>
          <w:sz w:val="20"/>
          <w:szCs w:val="20"/>
          <w:shd w:val="clear" w:color="auto" w:fill="FFFFFF"/>
        </w:rPr>
        <w:t>were</w:t>
      </w:r>
      <w:r w:rsidRPr="008F4B40">
        <w:rPr>
          <w:rFonts w:ascii="Palatino Linotype" w:hAnsi="Palatino Linotype" w:cs="Times New Roman"/>
          <w:sz w:val="20"/>
          <w:szCs w:val="20"/>
          <w:shd w:val="clear" w:color="auto" w:fill="FFFFFF"/>
        </w:rPr>
        <w:t xml:space="preserve"> only determined for bioreactor cultures. The operating procedure</w:t>
      </w:r>
      <w:r w:rsidR="00083CF0">
        <w:rPr>
          <w:rFonts w:ascii="Palatino Linotype" w:hAnsi="Palatino Linotype" w:cs="Times New Roman"/>
          <w:sz w:val="20"/>
          <w:szCs w:val="20"/>
          <w:shd w:val="clear" w:color="auto" w:fill="FFFFFF"/>
        </w:rPr>
        <w:t>s</w:t>
      </w:r>
      <w:r w:rsidRPr="008F4B40">
        <w:rPr>
          <w:rFonts w:ascii="Palatino Linotype" w:hAnsi="Palatino Linotype" w:cs="Times New Roman"/>
          <w:sz w:val="20"/>
          <w:szCs w:val="20"/>
          <w:shd w:val="clear" w:color="auto" w:fill="FFFFFF"/>
        </w:rPr>
        <w:t xml:space="preserve"> </w:t>
      </w:r>
      <w:r w:rsidR="00083CF0">
        <w:rPr>
          <w:rFonts w:ascii="Palatino Linotype" w:hAnsi="Palatino Linotype" w:cs="Times New Roman"/>
          <w:sz w:val="20"/>
          <w:szCs w:val="20"/>
          <w:shd w:val="clear" w:color="auto" w:fill="FFFFFF"/>
        </w:rPr>
        <w:t>are</w:t>
      </w:r>
      <w:r w:rsidRPr="008F4B40">
        <w:rPr>
          <w:rFonts w:ascii="Palatino Linotype" w:hAnsi="Palatino Linotype" w:cs="Times New Roman"/>
          <w:sz w:val="20"/>
          <w:szCs w:val="20"/>
          <w:shd w:val="clear" w:color="auto" w:fill="FFFFFF"/>
        </w:rPr>
        <w:t xml:space="preserve"> described in the subsection below.</w:t>
      </w:r>
    </w:p>
    <w:p w:rsidR="008802B1" w:rsidRPr="008F4B40" w:rsidRDefault="008802B1" w:rsidP="008802B1">
      <w:pPr>
        <w:pStyle w:val="4"/>
        <w:spacing w:before="0"/>
        <w:rPr>
          <w:rFonts w:ascii="Palatino Linotype" w:hAnsi="Palatino Linotype" w:cs="Times New Roman"/>
          <w:color w:val="auto"/>
          <w:sz w:val="20"/>
          <w:szCs w:val="20"/>
          <w:shd w:val="clear" w:color="auto" w:fill="FFFFFF"/>
        </w:rPr>
      </w:pPr>
      <w:bookmarkStart w:id="51" w:name="_Gassing-out_method"/>
      <w:bookmarkEnd w:id="51"/>
      <w:r w:rsidRPr="008F4B40">
        <w:rPr>
          <w:rFonts w:ascii="Palatino Linotype" w:hAnsi="Palatino Linotype" w:cs="Times New Roman"/>
          <w:color w:val="auto"/>
          <w:sz w:val="20"/>
          <w:szCs w:val="20"/>
          <w:shd w:val="clear" w:color="auto" w:fill="FFFFFF"/>
        </w:rPr>
        <w:t>Gassing-out method</w:t>
      </w:r>
    </w:p>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At time T0, the culture was at a pseudo-steady state, meaning </w:t>
      </w:r>
      <w:r w:rsidRPr="008F4B40">
        <w:rPr>
          <w:rFonts w:ascii="Palatino Linotype" w:hAnsi="Palatino Linotype" w:cs="Times New Roman"/>
          <w:noProof/>
          <w:sz w:val="20"/>
          <w:szCs w:val="20"/>
          <w:shd w:val="clear" w:color="auto" w:fill="FFFFFF"/>
        </w:rPr>
        <w:t>dC</w:t>
      </w:r>
      <w:r w:rsidRPr="008F4B40">
        <w:rPr>
          <w:rFonts w:ascii="Palatino Linotype" w:hAnsi="Palatino Linotype" w:cs="Times New Roman"/>
          <w:noProof/>
          <w:sz w:val="20"/>
          <w:szCs w:val="20"/>
          <w:shd w:val="clear" w:color="auto" w:fill="FFFFFF"/>
          <w:vertAlign w:val="subscript"/>
        </w:rPr>
        <w:t>DO</w:t>
      </w:r>
      <w:r w:rsidRPr="008F4B40">
        <w:rPr>
          <w:rFonts w:ascii="Palatino Linotype" w:hAnsi="Palatino Linotype" w:cs="Times New Roman"/>
          <w:sz w:val="20"/>
          <w:szCs w:val="20"/>
          <w:shd w:val="clear" w:color="auto" w:fill="FFFFFF"/>
        </w:rPr>
        <w:t>/</w:t>
      </w:r>
      <w:r w:rsidRPr="008F4B40">
        <w:rPr>
          <w:rFonts w:ascii="Palatino Linotype" w:hAnsi="Palatino Linotype" w:cs="Times New Roman"/>
          <w:noProof/>
          <w:sz w:val="20"/>
          <w:szCs w:val="20"/>
          <w:shd w:val="clear" w:color="auto" w:fill="FFFFFF"/>
        </w:rPr>
        <w:t>dt</w:t>
      </w:r>
      <w:r w:rsidRPr="008F4B40">
        <w:rPr>
          <w:rFonts w:ascii="Palatino Linotype" w:hAnsi="Palatino Linotype" w:cs="Times New Roman"/>
          <w:sz w:val="20"/>
          <w:szCs w:val="20"/>
          <w:shd w:val="clear" w:color="auto" w:fill="FFFFFF"/>
        </w:rPr>
        <w:t xml:space="preserve"> equals to zero. Eq.13 was then rearranged so that OTR equalled to </w:t>
      </w:r>
      <w:r w:rsidRPr="008F4B40">
        <w:rPr>
          <w:rFonts w:ascii="Palatino Linotype" w:hAnsi="Palatino Linotype" w:cs="Times New Roman"/>
          <w:noProof/>
          <w:sz w:val="20"/>
          <w:szCs w:val="20"/>
          <w:shd w:val="clear" w:color="auto" w:fill="FFFFFF"/>
        </w:rPr>
        <w:t>OUR</w:t>
      </w:r>
      <w:r w:rsidRPr="008F4B40">
        <w:rPr>
          <w:rFonts w:ascii="Palatino Linotype" w:hAnsi="Palatino Linotype" w:cs="Times New Roman"/>
          <w:sz w:val="20"/>
          <w:szCs w:val="20"/>
          <w:shd w:val="clear" w:color="auto" w:fill="FFFFFF"/>
        </w:rPr>
        <w:t>.</w:t>
      </w:r>
    </w:p>
    <w:tbl>
      <w:tblPr>
        <w:tblW w:w="5000" w:type="pct"/>
        <w:tblLook w:val="04A0" w:firstRow="1" w:lastRow="0" w:firstColumn="1" w:lastColumn="0" w:noHBand="0" w:noVBand="1"/>
      </w:tblPr>
      <w:tblGrid>
        <w:gridCol w:w="8330"/>
        <w:gridCol w:w="1632"/>
      </w:tblGrid>
      <w:tr w:rsidR="008802B1" w:rsidRPr="008F4B40" w:rsidTr="008802B1">
        <w:tc>
          <w:tcPr>
            <w:tcW w:w="4181" w:type="pct"/>
          </w:tcPr>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m:oMathPara>
              <m:oMath>
                <m:r>
                  <w:rPr>
                    <w:rFonts w:ascii="Cambria Math" w:hAnsi="Cambria Math" w:cs="Times New Roman"/>
                    <w:sz w:val="20"/>
                    <w:szCs w:val="20"/>
                    <w:shd w:val="clear" w:color="auto" w:fill="FFFFFF"/>
                  </w:rPr>
                  <m:t>OTR=OUR</m:t>
                </m:r>
              </m:oMath>
            </m:oMathPara>
          </w:p>
        </w:tc>
        <w:tc>
          <w:tcPr>
            <w:tcW w:w="819" w:type="pct"/>
            <w:vAlign w:val="center"/>
          </w:tcPr>
          <w:p w:rsidR="008802B1" w:rsidRPr="008F4B40" w:rsidRDefault="000C1C45" w:rsidP="008802B1">
            <w:pPr>
              <w:spacing w:after="0" w:line="360" w:lineRule="auto"/>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15</w:t>
            </w:r>
          </w:p>
        </w:tc>
      </w:tr>
    </w:tbl>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lastRenderedPageBreak/>
        <w:t xml:space="preserve">At this point, aeration was immediately shut off, creating a non-gassing phase during which </w:t>
      </w:r>
      <w:r w:rsidR="000C1C45" w:rsidRPr="008F4B40">
        <w:rPr>
          <w:rFonts w:ascii="Palatino Linotype" w:hAnsi="Palatino Linotype" w:cs="Times New Roman"/>
          <w:sz w:val="20"/>
          <w:szCs w:val="20"/>
          <w:shd w:val="clear" w:color="auto" w:fill="FFFFFF"/>
        </w:rPr>
        <w:t>OTR equalled to zero</w:t>
      </w:r>
      <w:r w:rsidRPr="008F4B40">
        <w:rPr>
          <w:rFonts w:ascii="Palatino Linotype" w:hAnsi="Palatino Linotype" w:cs="Times New Roman"/>
          <w:sz w:val="20"/>
          <w:szCs w:val="20"/>
          <w:shd w:val="clear" w:color="auto" w:fill="FFFFFF"/>
        </w:rPr>
        <w:t>. Subsequently, oxygen remaining in the bioreactor was gradually depleted by cells at a constant rate, equivalent to steady state OUR. This can be seen fr</w:t>
      </w:r>
      <w:r w:rsidR="000C1C45" w:rsidRPr="008F4B40">
        <w:rPr>
          <w:rFonts w:ascii="Palatino Linotype" w:hAnsi="Palatino Linotype" w:cs="Times New Roman"/>
          <w:sz w:val="20"/>
          <w:szCs w:val="20"/>
          <w:shd w:val="clear" w:color="auto" w:fill="FFFFFF"/>
        </w:rPr>
        <w:t xml:space="preserve">om the D.O.-Time plot (Figure </w:t>
      </w:r>
      <w:r w:rsidR="00437BC5" w:rsidRPr="008F4B40">
        <w:rPr>
          <w:rFonts w:ascii="Palatino Linotype" w:hAnsi="Palatino Linotype" w:cs="Times New Roman"/>
          <w:sz w:val="20"/>
          <w:szCs w:val="20"/>
          <w:shd w:val="clear" w:color="auto" w:fill="FFFFFF"/>
        </w:rPr>
        <w:t>5</w:t>
      </w:r>
      <w:r w:rsidRPr="008F4B40">
        <w:rPr>
          <w:rFonts w:ascii="Palatino Linotype" w:hAnsi="Palatino Linotype" w:cs="Times New Roman"/>
          <w:sz w:val="20"/>
          <w:szCs w:val="20"/>
          <w:shd w:val="clear" w:color="auto" w:fill="FFFFFF"/>
        </w:rPr>
        <w:t>), where D.O. level decreased linearly with time before the occurrence of oxygen limitation near T1. Hence, OUR can be calculated as the slope of the linear region of the D.O. profile (marked b</w:t>
      </w:r>
      <w:r w:rsidR="000C1C45" w:rsidRPr="008F4B40">
        <w:rPr>
          <w:rFonts w:ascii="Palatino Linotype" w:hAnsi="Palatino Linotype" w:cs="Times New Roman"/>
          <w:sz w:val="20"/>
          <w:szCs w:val="20"/>
          <w:shd w:val="clear" w:color="auto" w:fill="FFFFFF"/>
        </w:rPr>
        <w:t xml:space="preserve">y a black dash line in Figure </w:t>
      </w:r>
      <w:r w:rsidR="00437BC5" w:rsidRPr="008F4B40">
        <w:rPr>
          <w:rFonts w:ascii="Palatino Linotype" w:hAnsi="Palatino Linotype" w:cs="Times New Roman"/>
          <w:sz w:val="20"/>
          <w:szCs w:val="20"/>
          <w:shd w:val="clear" w:color="auto" w:fill="FFFFFF"/>
        </w:rPr>
        <w:t>5</w:t>
      </w:r>
      <w:r w:rsidRPr="008F4B40">
        <w:rPr>
          <w:rFonts w:ascii="Palatino Linotype" w:hAnsi="Palatino Linotype" w:cs="Times New Roman"/>
          <w:sz w:val="20"/>
          <w:szCs w:val="20"/>
          <w:shd w:val="clear" w:color="auto" w:fill="FFFFFF"/>
        </w:rPr>
        <w:t>). Knowing C</w:t>
      </w:r>
      <w:r w:rsidRPr="008F4B40">
        <w:rPr>
          <w:rFonts w:ascii="Palatino Linotype" w:hAnsi="Palatino Linotype" w:cs="Times New Roman"/>
          <w:sz w:val="20"/>
          <w:szCs w:val="20"/>
          <w:shd w:val="clear" w:color="auto" w:fill="FFFFFF"/>
          <w:vertAlign w:val="subscript"/>
        </w:rPr>
        <w:t>DO</w:t>
      </w:r>
      <w:r w:rsidRPr="008F4B40">
        <w:rPr>
          <w:rFonts w:ascii="Palatino Linotype" w:hAnsi="Palatino Linotype" w:cs="Times New Roman"/>
          <w:sz w:val="20"/>
          <w:szCs w:val="20"/>
          <w:shd w:val="clear" w:color="auto" w:fill="FFFFFF"/>
          <w:vertAlign w:val="superscript"/>
        </w:rPr>
        <w:t>*</w:t>
      </w:r>
      <w:r w:rsidRPr="008F4B40">
        <w:rPr>
          <w:rFonts w:ascii="Palatino Linotype" w:hAnsi="Palatino Linotype" w:cs="Times New Roman"/>
          <w:sz w:val="20"/>
          <w:szCs w:val="20"/>
          <w:shd w:val="clear" w:color="auto" w:fill="FFFFFF"/>
        </w:rPr>
        <w:t>, C</w:t>
      </w:r>
      <w:r w:rsidRPr="008F4B40">
        <w:rPr>
          <w:rFonts w:ascii="Palatino Linotype" w:hAnsi="Palatino Linotype" w:cs="Times New Roman"/>
          <w:sz w:val="20"/>
          <w:szCs w:val="20"/>
          <w:shd w:val="clear" w:color="auto" w:fill="FFFFFF"/>
          <w:vertAlign w:val="subscript"/>
        </w:rPr>
        <w:t>DO</w:t>
      </w:r>
      <w:r w:rsidRPr="008F4B40">
        <w:rPr>
          <w:rFonts w:ascii="Palatino Linotype" w:hAnsi="Palatino Linotype" w:cs="Times New Roman"/>
          <w:sz w:val="20"/>
          <w:szCs w:val="20"/>
          <w:shd w:val="clear" w:color="auto" w:fill="FFFFFF"/>
        </w:rPr>
        <w:t xml:space="preserve"> and OUR (OTR), kLa can</w:t>
      </w:r>
      <w:r w:rsidR="00C64512" w:rsidRPr="008F4B40">
        <w:rPr>
          <w:rFonts w:ascii="Palatino Linotype" w:hAnsi="Palatino Linotype" w:cs="Times New Roman"/>
          <w:sz w:val="20"/>
          <w:szCs w:val="20"/>
          <w:shd w:val="clear" w:color="auto" w:fill="FFFFFF"/>
        </w:rPr>
        <w:t xml:space="preserve"> then be determined using Eq.</w:t>
      </w:r>
      <w:r w:rsidRPr="008F4B40">
        <w:rPr>
          <w:rFonts w:ascii="Palatino Linotype" w:hAnsi="Palatino Linotype" w:cs="Times New Roman"/>
          <w:sz w:val="20"/>
          <w:szCs w:val="20"/>
          <w:shd w:val="clear" w:color="auto" w:fill="FFFFFF"/>
        </w:rPr>
        <w:t xml:space="preserve">13. </w:t>
      </w:r>
    </w:p>
    <w:p w:rsidR="008802B1" w:rsidRPr="008F4B40" w:rsidRDefault="008802B1" w:rsidP="008802B1">
      <w:pPr>
        <w:pStyle w:val="a7"/>
        <w:keepNext/>
        <w:spacing w:line="288" w:lineRule="auto"/>
        <w:jc w:val="center"/>
        <w:rPr>
          <w:rFonts w:ascii="Palatino Linotype" w:hAnsi="Palatino Linotype" w:cs="Times New Roman"/>
          <w:i/>
          <w:sz w:val="20"/>
          <w:szCs w:val="20"/>
        </w:rPr>
      </w:pPr>
      <w:r w:rsidRPr="008F4B40">
        <w:rPr>
          <w:rFonts w:ascii="Palatino Linotype" w:hAnsi="Palatino Linotype" w:cs="Times New Roman"/>
          <w:i/>
          <w:noProof/>
          <w:sz w:val="20"/>
          <w:szCs w:val="20"/>
        </w:rPr>
        <w:drawing>
          <wp:inline distT="0" distB="0" distL="0" distR="0" wp14:anchorId="5836B904" wp14:editId="4664B8C7">
            <wp:extent cx="5486400" cy="2609850"/>
            <wp:effectExtent l="0" t="0" r="19050" b="19050"/>
            <wp:docPr id="100" name="图表 10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Start w:id="52" w:name="_kLa_in_different"/>
      <w:bookmarkEnd w:id="52"/>
    </w:p>
    <w:p w:rsidR="008802B1" w:rsidRPr="008F4B40" w:rsidRDefault="008802B1" w:rsidP="008802B1">
      <w:pPr>
        <w:pStyle w:val="af"/>
        <w:spacing w:after="0"/>
        <w:jc w:val="center"/>
        <w:rPr>
          <w:rFonts w:ascii="Palatino Linotype" w:hAnsi="Palatino Linotype" w:cs="Times New Roman"/>
          <w:b w:val="0"/>
          <w:i/>
          <w:color w:val="auto"/>
          <w:sz w:val="20"/>
          <w:szCs w:val="20"/>
          <w:shd w:val="clear" w:color="auto" w:fill="FFFFFF"/>
        </w:rPr>
      </w:pPr>
      <w:bookmarkStart w:id="53" w:name="_Toc500722199"/>
      <w:r w:rsidRPr="008F4B40">
        <w:rPr>
          <w:rFonts w:ascii="Palatino Linotype" w:hAnsi="Palatino Linotype" w:cs="Times New Roman"/>
          <w:b w:val="0"/>
          <w:color w:val="auto"/>
          <w:sz w:val="20"/>
          <w:szCs w:val="20"/>
        </w:rPr>
        <w:t xml:space="preserve">Figure </w:t>
      </w:r>
      <w:r w:rsidRPr="008F4B40">
        <w:rPr>
          <w:rFonts w:ascii="Palatino Linotype" w:hAnsi="Palatino Linotype" w:cs="Times New Roman"/>
          <w:b w:val="0"/>
          <w:i/>
          <w:color w:val="auto"/>
          <w:sz w:val="20"/>
          <w:szCs w:val="20"/>
        </w:rPr>
        <w:fldChar w:fldCharType="begin"/>
      </w:r>
      <w:r w:rsidRPr="008F4B40">
        <w:rPr>
          <w:rFonts w:ascii="Palatino Linotype" w:hAnsi="Palatino Linotype" w:cs="Times New Roman"/>
          <w:b w:val="0"/>
          <w:color w:val="auto"/>
          <w:sz w:val="20"/>
          <w:szCs w:val="20"/>
        </w:rPr>
        <w:instrText xml:space="preserve"> SEQ Figure \* ARABIC \s 1 </w:instrText>
      </w:r>
      <w:r w:rsidRPr="008F4B40">
        <w:rPr>
          <w:rFonts w:ascii="Palatino Linotype" w:hAnsi="Palatino Linotype" w:cs="Times New Roman"/>
          <w:b w:val="0"/>
          <w:i/>
          <w:color w:val="auto"/>
          <w:sz w:val="20"/>
          <w:szCs w:val="20"/>
        </w:rPr>
        <w:fldChar w:fldCharType="separate"/>
      </w:r>
      <w:r w:rsidR="000C1C45" w:rsidRPr="008F4B40">
        <w:rPr>
          <w:rFonts w:ascii="Palatino Linotype" w:hAnsi="Palatino Linotype" w:cs="Times New Roman"/>
          <w:b w:val="0"/>
          <w:noProof/>
          <w:color w:val="auto"/>
          <w:sz w:val="20"/>
          <w:szCs w:val="20"/>
        </w:rPr>
        <w:t>5</w:t>
      </w:r>
      <w:r w:rsidRPr="008F4B40">
        <w:rPr>
          <w:rFonts w:ascii="Palatino Linotype" w:hAnsi="Palatino Linotype" w:cs="Times New Roman"/>
          <w:b w:val="0"/>
          <w:i/>
          <w:color w:val="auto"/>
          <w:sz w:val="20"/>
          <w:szCs w:val="20"/>
        </w:rPr>
        <w:fldChar w:fldCharType="end"/>
      </w:r>
      <w:r w:rsidRPr="008F4B40">
        <w:rPr>
          <w:rFonts w:ascii="Palatino Linotype" w:hAnsi="Palatino Linotype" w:cs="Times New Roman"/>
          <w:b w:val="0"/>
          <w:color w:val="auto"/>
          <w:sz w:val="20"/>
          <w:szCs w:val="20"/>
        </w:rPr>
        <w:t xml:space="preserve"> – Dynamic gassing out for the determination of KLa values. Aeration was ceased at T0 to create a non-gassing phase (red dots), during which </w:t>
      </w:r>
      <w:r w:rsidRPr="008F4B40">
        <w:rPr>
          <w:rFonts w:ascii="Palatino Linotype" w:hAnsi="Palatino Linotype" w:cs="Times New Roman"/>
          <w:b w:val="0"/>
          <w:noProof/>
          <w:color w:val="auto"/>
          <w:sz w:val="20"/>
          <w:szCs w:val="20"/>
        </w:rPr>
        <w:t>OUR</w:t>
      </w:r>
      <w:r w:rsidRPr="008F4B40">
        <w:rPr>
          <w:rFonts w:ascii="Palatino Linotype" w:hAnsi="Palatino Linotype" w:cs="Times New Roman"/>
          <w:b w:val="0"/>
          <w:color w:val="auto"/>
          <w:sz w:val="20"/>
          <w:szCs w:val="20"/>
        </w:rPr>
        <w:t xml:space="preserve"> can be determined. The aeration recommenced at T1, followed by a </w:t>
      </w:r>
      <w:r w:rsidRPr="008F4B40">
        <w:rPr>
          <w:rFonts w:ascii="Palatino Linotype" w:hAnsi="Palatino Linotype" w:cs="Times New Roman"/>
          <w:b w:val="0"/>
          <w:noProof/>
          <w:color w:val="auto"/>
          <w:sz w:val="20"/>
          <w:szCs w:val="20"/>
        </w:rPr>
        <w:t>gassing</w:t>
      </w:r>
      <w:r w:rsidRPr="008F4B40">
        <w:rPr>
          <w:rFonts w:ascii="Palatino Linotype" w:hAnsi="Palatino Linotype" w:cs="Times New Roman"/>
          <w:b w:val="0"/>
          <w:color w:val="auto"/>
          <w:sz w:val="20"/>
          <w:szCs w:val="20"/>
        </w:rPr>
        <w:t xml:space="preserve"> phase (blue dots). D.O. concentration eventually climbed back to the original level at T2</w:t>
      </w:r>
      <w:bookmarkEnd w:id="53"/>
    </w:p>
    <w:p w:rsidR="008802B1" w:rsidRPr="008F4B40" w:rsidRDefault="008802B1" w:rsidP="008802B1">
      <w:pPr>
        <w:pStyle w:val="a7"/>
        <w:spacing w:line="360" w:lineRule="auto"/>
        <w:jc w:val="both"/>
        <w:rPr>
          <w:rFonts w:ascii="Palatino Linotype" w:hAnsi="Palatino Linotype" w:cs="Times New Roman"/>
          <w:i/>
          <w:sz w:val="20"/>
          <w:szCs w:val="20"/>
        </w:rPr>
      </w:pPr>
      <w:r w:rsidRPr="008F4B40">
        <w:rPr>
          <w:rFonts w:ascii="Palatino Linotype" w:hAnsi="Palatino Linotype" w:cs="Times New Roman"/>
          <w:sz w:val="20"/>
          <w:szCs w:val="20"/>
          <w:shd w:val="clear" w:color="auto" w:fill="FFFFFF"/>
        </w:rPr>
        <w:t xml:space="preserve">The rheological properties of the culture broth can change during the course of fermentation </w:t>
      </w:r>
      <w:r w:rsidRPr="008F4B40">
        <w:rPr>
          <w:rFonts w:ascii="Palatino Linotype" w:hAnsi="Palatino Linotype" w:cs="Times New Roman"/>
          <w:noProof/>
          <w:sz w:val="20"/>
          <w:szCs w:val="20"/>
          <w:shd w:val="clear" w:color="auto" w:fill="FFFFFF"/>
        </w:rPr>
        <w:t>due to</w:t>
      </w:r>
      <w:r w:rsidRPr="008F4B40">
        <w:rPr>
          <w:rFonts w:ascii="Palatino Linotype" w:hAnsi="Palatino Linotype" w:cs="Times New Roman"/>
          <w:sz w:val="20"/>
          <w:szCs w:val="20"/>
          <w:shd w:val="clear" w:color="auto" w:fill="FFFFFF"/>
        </w:rPr>
        <w:t xml:space="preserve"> the change in cell concentration and morphology. Cell growth, for one, will lead to increase of broth viscosity, in </w:t>
      </w:r>
      <w:r w:rsidRPr="008F4B40">
        <w:rPr>
          <w:rFonts w:ascii="Palatino Linotype" w:hAnsi="Palatino Linotype" w:cs="Times New Roman"/>
          <w:noProof/>
          <w:sz w:val="20"/>
          <w:szCs w:val="20"/>
          <w:shd w:val="clear" w:color="auto" w:fill="FFFFFF"/>
        </w:rPr>
        <w:t>turn</w:t>
      </w:r>
      <w:r w:rsidRPr="008F4B40">
        <w:rPr>
          <w:rFonts w:ascii="Palatino Linotype" w:hAnsi="Palatino Linotype" w:cs="Times New Roman"/>
          <w:sz w:val="20"/>
          <w:szCs w:val="20"/>
          <w:shd w:val="clear" w:color="auto" w:fill="FFFFFF"/>
        </w:rPr>
        <w:t xml:space="preserve"> hampering the mixing and mass transfer capacity in the bioreactor. In order to quantitatively assess the effect of agitation speed and aeration rate on </w:t>
      </w:r>
      <w:r w:rsidRPr="008F4B40">
        <w:rPr>
          <w:rFonts w:ascii="Palatino Linotype" w:hAnsi="Palatino Linotype" w:cs="Times New Roman"/>
          <w:noProof/>
          <w:sz w:val="20"/>
          <w:szCs w:val="20"/>
          <w:shd w:val="clear" w:color="auto" w:fill="FFFFFF"/>
        </w:rPr>
        <w:t>kLa</w:t>
      </w:r>
      <w:r w:rsidRPr="008F4B40">
        <w:rPr>
          <w:rFonts w:ascii="Palatino Linotype" w:hAnsi="Palatino Linotype" w:cs="Times New Roman"/>
          <w:sz w:val="20"/>
          <w:szCs w:val="20"/>
          <w:shd w:val="clear" w:color="auto" w:fill="FFFFFF"/>
        </w:rPr>
        <w:t xml:space="preserve">, the </w:t>
      </w:r>
      <w:r w:rsidRPr="008F4B40">
        <w:rPr>
          <w:rFonts w:ascii="Palatino Linotype" w:hAnsi="Palatino Linotype" w:cs="Times New Roman"/>
          <w:noProof/>
          <w:sz w:val="20"/>
          <w:szCs w:val="20"/>
          <w:shd w:val="clear" w:color="auto" w:fill="FFFFFF"/>
        </w:rPr>
        <w:t>gassing-out</w:t>
      </w:r>
      <w:r w:rsidRPr="008F4B40">
        <w:rPr>
          <w:rFonts w:ascii="Palatino Linotype" w:hAnsi="Palatino Linotype" w:cs="Times New Roman"/>
          <w:sz w:val="20"/>
          <w:szCs w:val="20"/>
          <w:shd w:val="clear" w:color="auto" w:fill="FFFFFF"/>
        </w:rPr>
        <w:t xml:space="preserve"> method was performed in culture broths containing cells at late PHB production phase. In </w:t>
      </w:r>
      <w:r w:rsidRPr="008F4B40">
        <w:rPr>
          <w:rFonts w:ascii="Palatino Linotype" w:hAnsi="Palatino Linotype" w:cs="Times New Roman"/>
          <w:noProof/>
          <w:sz w:val="20"/>
          <w:szCs w:val="20"/>
          <w:shd w:val="clear" w:color="auto" w:fill="FFFFFF"/>
        </w:rPr>
        <w:t>total</w:t>
      </w:r>
      <w:r w:rsidRPr="008F4B40">
        <w:rPr>
          <w:rFonts w:ascii="Palatino Linotype" w:hAnsi="Palatino Linotype" w:cs="Times New Roman"/>
          <w:sz w:val="20"/>
          <w:szCs w:val="20"/>
          <w:shd w:val="clear" w:color="auto" w:fill="FFFFFF"/>
        </w:rPr>
        <w:t xml:space="preserve">, 11 combinations of agitation speed and aeration rate were tested, with the resulting </w:t>
      </w:r>
      <w:r w:rsidRPr="008F4B40">
        <w:rPr>
          <w:rFonts w:ascii="Palatino Linotype" w:hAnsi="Palatino Linotype" w:cs="Times New Roman"/>
          <w:noProof/>
          <w:sz w:val="20"/>
          <w:szCs w:val="20"/>
          <w:shd w:val="clear" w:color="auto" w:fill="FFFFFF"/>
        </w:rPr>
        <w:t>kLa</w:t>
      </w:r>
      <w:r w:rsidRPr="008F4B40">
        <w:rPr>
          <w:rFonts w:ascii="Palatino Linotype" w:hAnsi="Palatino Linotype" w:cs="Times New Roman"/>
          <w:sz w:val="20"/>
          <w:szCs w:val="20"/>
          <w:shd w:val="clear" w:color="auto" w:fill="FFFFFF"/>
        </w:rPr>
        <w:t xml:space="preserve"> plotted below.</w:t>
      </w:r>
    </w:p>
    <w:p w:rsidR="008802B1" w:rsidRPr="008F4B40" w:rsidRDefault="008802B1" w:rsidP="008802B1">
      <w:pPr>
        <w:pStyle w:val="a7"/>
        <w:keepNext/>
        <w:jc w:val="center"/>
        <w:rPr>
          <w:rFonts w:ascii="Palatino Linotype" w:hAnsi="Palatino Linotype" w:cs="Times New Roman"/>
          <w:sz w:val="20"/>
          <w:szCs w:val="20"/>
        </w:rPr>
      </w:pPr>
      <w:r w:rsidRPr="008F4B40">
        <w:rPr>
          <w:rFonts w:ascii="Palatino Linotype" w:hAnsi="Palatino Linotype" w:cs="Times New Roman"/>
          <w:noProof/>
          <w:sz w:val="20"/>
          <w:szCs w:val="20"/>
        </w:rPr>
        <w:lastRenderedPageBreak/>
        <w:drawing>
          <wp:inline distT="0" distB="0" distL="0" distR="0" wp14:anchorId="21117A78" wp14:editId="36940EB5">
            <wp:extent cx="5186082" cy="3124200"/>
            <wp:effectExtent l="0" t="0" r="14605" b="1905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802B1" w:rsidRPr="008F4B40" w:rsidRDefault="008802B1" w:rsidP="008802B1">
      <w:pPr>
        <w:pStyle w:val="af"/>
        <w:spacing w:after="0"/>
        <w:jc w:val="center"/>
        <w:rPr>
          <w:rStyle w:val="aff0"/>
          <w:rFonts w:ascii="Palatino Linotype" w:hAnsi="Palatino Linotype" w:cs="Times New Roman"/>
          <w:b w:val="0"/>
          <w:color w:val="auto"/>
          <w:sz w:val="20"/>
          <w:szCs w:val="20"/>
          <w:u w:val="none"/>
        </w:rPr>
      </w:pPr>
      <w:bookmarkStart w:id="54" w:name="_Toc500722200"/>
      <w:r w:rsidRPr="008F4B40">
        <w:rPr>
          <w:rFonts w:ascii="Palatino Linotype" w:hAnsi="Palatino Linotype" w:cs="Times New Roman"/>
          <w:b w:val="0"/>
          <w:color w:val="auto"/>
          <w:sz w:val="20"/>
          <w:szCs w:val="20"/>
        </w:rPr>
        <w:t xml:space="preserve">Figure </w:t>
      </w:r>
      <w:r w:rsidRPr="008F4B40">
        <w:rPr>
          <w:rFonts w:ascii="Palatino Linotype" w:hAnsi="Palatino Linotype" w:cs="Times New Roman"/>
          <w:b w:val="0"/>
          <w:i/>
          <w:color w:val="auto"/>
          <w:sz w:val="20"/>
          <w:szCs w:val="20"/>
        </w:rPr>
        <w:fldChar w:fldCharType="begin"/>
      </w:r>
      <w:r w:rsidRPr="008F4B40">
        <w:rPr>
          <w:rFonts w:ascii="Palatino Linotype" w:hAnsi="Palatino Linotype" w:cs="Times New Roman"/>
          <w:b w:val="0"/>
          <w:color w:val="auto"/>
          <w:sz w:val="20"/>
          <w:szCs w:val="20"/>
        </w:rPr>
        <w:instrText xml:space="preserve"> SEQ Figure \* ARABIC \s 1 </w:instrText>
      </w:r>
      <w:r w:rsidRPr="008F4B40">
        <w:rPr>
          <w:rFonts w:ascii="Palatino Linotype" w:hAnsi="Palatino Linotype" w:cs="Times New Roman"/>
          <w:b w:val="0"/>
          <w:i/>
          <w:color w:val="auto"/>
          <w:sz w:val="20"/>
          <w:szCs w:val="20"/>
        </w:rPr>
        <w:fldChar w:fldCharType="separate"/>
      </w:r>
      <w:r w:rsidR="000C1C45" w:rsidRPr="008F4B40">
        <w:rPr>
          <w:rFonts w:ascii="Palatino Linotype" w:hAnsi="Palatino Linotype" w:cs="Times New Roman"/>
          <w:b w:val="0"/>
          <w:noProof/>
          <w:color w:val="auto"/>
          <w:sz w:val="20"/>
          <w:szCs w:val="20"/>
        </w:rPr>
        <w:t>6</w:t>
      </w:r>
      <w:r w:rsidRPr="008F4B40">
        <w:rPr>
          <w:rFonts w:ascii="Palatino Linotype" w:hAnsi="Palatino Linotype" w:cs="Times New Roman"/>
          <w:b w:val="0"/>
          <w:i/>
          <w:color w:val="auto"/>
          <w:sz w:val="20"/>
          <w:szCs w:val="20"/>
        </w:rPr>
        <w:fldChar w:fldCharType="end"/>
      </w:r>
      <w:r w:rsidRPr="008F4B40">
        <w:rPr>
          <w:rFonts w:ascii="Palatino Linotype" w:hAnsi="Palatino Linotype" w:cs="Times New Roman"/>
          <w:b w:val="0"/>
          <w:color w:val="auto"/>
          <w:sz w:val="20"/>
          <w:szCs w:val="20"/>
        </w:rPr>
        <w:t xml:space="preserve"> – The change of kLa with air flow rate when different agitation speeds were used. The raw data used in the calculation can be found in the </w:t>
      </w:r>
      <w:hyperlink w:anchor="_Appendix_A2_-" w:history="1">
        <w:r w:rsidRPr="00FD02D4">
          <w:rPr>
            <w:rStyle w:val="aff0"/>
            <w:rFonts w:ascii="Palatino Linotype" w:hAnsi="Palatino Linotype" w:cs="Times New Roman"/>
            <w:b w:val="0"/>
            <w:color w:val="C00000"/>
            <w:sz w:val="20"/>
            <w:szCs w:val="20"/>
            <w:u w:val="none"/>
          </w:rPr>
          <w:t>Appendix</w:t>
        </w:r>
        <w:bookmarkEnd w:id="54"/>
      </w:hyperlink>
      <w:r w:rsidR="00FD02D4" w:rsidRPr="00FD02D4">
        <w:rPr>
          <w:rStyle w:val="aff0"/>
          <w:rFonts w:ascii="Palatino Linotype" w:hAnsi="Palatino Linotype" w:cs="Times New Roman"/>
          <w:b w:val="0"/>
          <w:color w:val="C00000"/>
          <w:sz w:val="20"/>
          <w:szCs w:val="20"/>
          <w:u w:val="none"/>
        </w:rPr>
        <w:t xml:space="preserve"> A1</w:t>
      </w:r>
    </w:p>
    <w:p w:rsidR="008802B1" w:rsidRPr="008F4B40" w:rsidRDefault="008802B1" w:rsidP="008802B1">
      <w:pPr>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The oxygen mass transfer from air to fermentation broth in an aerated stirred tank bioreactor is complex. Agitation is a particularly important design consideration as it has a strong impact on bubble size, bubble retention time and liquid mixing </w:t>
      </w:r>
      <w:r w:rsidRPr="008F4B40">
        <w:rPr>
          <w:rFonts w:ascii="Palatino Linotype" w:hAnsi="Palatino Linotype" w:cs="Times New Roman"/>
          <w:i/>
          <w:sz w:val="20"/>
          <w:szCs w:val="20"/>
          <w:shd w:val="clear" w:color="auto" w:fill="FFFFFF"/>
        </w:rPr>
        <w:fldChar w:fldCharType="begin" w:fldLock="1"/>
      </w:r>
      <w:r w:rsidR="00AC7961" w:rsidRPr="008F4B40">
        <w:rPr>
          <w:rFonts w:ascii="Palatino Linotype" w:hAnsi="Palatino Linotype" w:cs="Times New Roman"/>
          <w:sz w:val="20"/>
          <w:szCs w:val="20"/>
          <w:shd w:val="clear" w:color="auto" w:fill="FFFFFF"/>
        </w:rPr>
        <w:instrText>ADDIN CSL_CITATION {"citationItems":[{"id":"ITEM-1","itemData":{"author":[{"dropping-particle":"","family":"Roberts","given":"Ronnie","non-dropping-particle":"","parse-names":false,"suffix":""},{"dropping-particle":"","family":"Kastner","given":"James","non-dropping-particle":"","parse-names":false,"suffix":""},{"dropping-particle":"","family":"Ahmad","given":"Maqsood","non-dropping-particle":"","parse-names":false,"suffix":""},{"dropping-particle":"","family":"Tedder","given":"William","non-dropping-particle":"","parse-names":false,"suffix":""}],"container-title":"Chemical Engineering Education","id":"ITEM-1","issued":{"date-parts":[["1992"]]},"page":"142-145","title":"The Effect of Agitation on Oxygen Mass Transfer in a Fermentor","type":"article"},"uris":["http://www.mendeley.com/documents/?uuid=f169abb6-7c69-4d65-8e30-30119a67eed8"]}],"mendeley":{"formattedCitation":"[5]","plainTextFormattedCitation":"[5]","previouslyFormattedCitation":"[5]"},"properties":{"noteIndex":0},"schema":"https://github.com/citation-style-language/schema/raw/master/csl-citation.json"}</w:instrText>
      </w:r>
      <w:r w:rsidRPr="008F4B40">
        <w:rPr>
          <w:rFonts w:ascii="Palatino Linotype" w:hAnsi="Palatino Linotype" w:cs="Times New Roman"/>
          <w:i/>
          <w:sz w:val="20"/>
          <w:szCs w:val="20"/>
          <w:shd w:val="clear" w:color="auto" w:fill="FFFFFF"/>
        </w:rPr>
        <w:fldChar w:fldCharType="separate"/>
      </w:r>
      <w:r w:rsidRPr="008F4B40">
        <w:rPr>
          <w:rFonts w:ascii="Palatino Linotype" w:hAnsi="Palatino Linotype" w:cs="Times New Roman"/>
          <w:noProof/>
          <w:sz w:val="20"/>
          <w:szCs w:val="20"/>
          <w:shd w:val="clear" w:color="auto" w:fill="FFFFFF"/>
        </w:rPr>
        <w:t>[5]</w:t>
      </w:r>
      <w:r w:rsidRPr="008F4B40">
        <w:rPr>
          <w:rFonts w:ascii="Palatino Linotype" w:hAnsi="Palatino Linotype" w:cs="Times New Roman"/>
          <w:i/>
          <w:sz w:val="20"/>
          <w:szCs w:val="20"/>
          <w:shd w:val="clear" w:color="auto" w:fill="FFFFFF"/>
        </w:rPr>
        <w:fldChar w:fldCharType="end"/>
      </w:r>
      <w:r w:rsidR="000C1C45" w:rsidRPr="008F4B40">
        <w:rPr>
          <w:rFonts w:ascii="Palatino Linotype" w:hAnsi="Palatino Linotype" w:cs="Times New Roman"/>
          <w:sz w:val="20"/>
          <w:szCs w:val="20"/>
          <w:shd w:val="clear" w:color="auto" w:fill="FFFFFF"/>
        </w:rPr>
        <w:t xml:space="preserve">. From Figure </w:t>
      </w:r>
      <w:r w:rsidR="00437BC5" w:rsidRPr="008F4B40">
        <w:rPr>
          <w:rFonts w:ascii="Palatino Linotype" w:hAnsi="Palatino Linotype" w:cs="Times New Roman"/>
          <w:sz w:val="20"/>
          <w:szCs w:val="20"/>
          <w:shd w:val="clear" w:color="auto" w:fill="FFFFFF"/>
        </w:rPr>
        <w:t>6</w:t>
      </w:r>
      <w:r w:rsidRPr="008F4B40">
        <w:rPr>
          <w:rFonts w:ascii="Palatino Linotype" w:hAnsi="Palatino Linotype" w:cs="Times New Roman"/>
          <w:sz w:val="20"/>
          <w:szCs w:val="20"/>
          <w:shd w:val="clear" w:color="auto" w:fill="FFFFFF"/>
        </w:rPr>
        <w:t xml:space="preserve">, we noticed that when the agitation speed is at 260 or 300 rpm, increasing the air flow rate leads to discernible improvement of kLa, whereas this is not the case with an agitation speed of 220 rpm. Also, the kLa values obtained with 220 rpm agitation speed are significantly lower than those obtained with higher agitation speeds. This suggests that 220 rpm is likely near the ‘minimum agitation speed’, below which the fast-rising air bubbles cannot be sufficiently dispersed by the agitators and broken up into smaller ones as they </w:t>
      </w:r>
      <w:r w:rsidRPr="008F4B40">
        <w:rPr>
          <w:rFonts w:ascii="Palatino Linotype" w:hAnsi="Palatino Linotype" w:cs="Times New Roman"/>
          <w:noProof/>
          <w:sz w:val="20"/>
          <w:szCs w:val="20"/>
          <w:shd w:val="clear" w:color="auto" w:fill="FFFFFF"/>
        </w:rPr>
        <w:t>passes</w:t>
      </w:r>
      <w:r w:rsidRPr="008F4B40">
        <w:rPr>
          <w:rFonts w:ascii="Palatino Linotype" w:hAnsi="Palatino Linotype" w:cs="Times New Roman"/>
          <w:sz w:val="20"/>
          <w:szCs w:val="20"/>
          <w:shd w:val="clear" w:color="auto" w:fill="FFFFFF"/>
        </w:rPr>
        <w:t xml:space="preserve"> through the agitation region, resulting in low oxygen mass transfer </w:t>
      </w:r>
      <w:r w:rsidRPr="008F4B40">
        <w:rPr>
          <w:rFonts w:ascii="Palatino Linotype" w:hAnsi="Palatino Linotype" w:cs="Times New Roman"/>
          <w:i/>
          <w:sz w:val="20"/>
          <w:szCs w:val="20"/>
          <w:shd w:val="clear" w:color="auto" w:fill="FFFFFF"/>
        </w:rPr>
        <w:fldChar w:fldCharType="begin" w:fldLock="1"/>
      </w:r>
      <w:r w:rsidR="00AC7961" w:rsidRPr="008F4B40">
        <w:rPr>
          <w:rFonts w:ascii="Palatino Linotype" w:hAnsi="Palatino Linotype" w:cs="Times New Roman"/>
          <w:sz w:val="20"/>
          <w:szCs w:val="20"/>
          <w:shd w:val="clear" w:color="auto" w:fill="FFFFFF"/>
        </w:rPr>
        <w:instrText>ADDIN CSL_CITATION {"citationItems":[{"id":"ITEM-1","itemData":{"author":[{"dropping-particle":"","family":"Doble","given":"Mukesh","non-dropping-particle":"","parse-names":false,"suffix":""},{"dropping-particle":"","family":"Kruthiventi","given":"Anil Kumar","non-dropping-particle":"","parse-names":false,"suffix":""},{"dropping-particle":"","family":"Gaikar","given":"Vilas Gajanan","non-dropping-particle":"","parse-names":false,"suffix":""}],"container-title":"Biotransformations and Bioprocesses","id":"ITEM-1","issued":{"date-parts":[["2004"]]},"page":"227-255","title":"Stirred Bioreactor","type":"chapter"},"uris":["http://www.mendeley.com/documents/?uuid=da78b3a8-172e-40a7-a819-961e694d0c10"]}],"mendeley":{"formattedCitation":"[6]","plainTextFormattedCitation":"[6]","previouslyFormattedCitation":"[6]"},"properties":{"noteIndex":0},"schema":"https://github.com/citation-style-language/schema/raw/master/csl-citation.json"}</w:instrText>
      </w:r>
      <w:r w:rsidRPr="008F4B40">
        <w:rPr>
          <w:rFonts w:ascii="Palatino Linotype" w:hAnsi="Palatino Linotype" w:cs="Times New Roman"/>
          <w:i/>
          <w:sz w:val="20"/>
          <w:szCs w:val="20"/>
          <w:shd w:val="clear" w:color="auto" w:fill="FFFFFF"/>
        </w:rPr>
        <w:fldChar w:fldCharType="separate"/>
      </w:r>
      <w:r w:rsidRPr="008F4B40">
        <w:rPr>
          <w:rFonts w:ascii="Palatino Linotype" w:hAnsi="Palatino Linotype" w:cs="Times New Roman"/>
          <w:noProof/>
          <w:sz w:val="20"/>
          <w:szCs w:val="20"/>
          <w:shd w:val="clear" w:color="auto" w:fill="FFFFFF"/>
        </w:rPr>
        <w:t>[6]</w:t>
      </w:r>
      <w:r w:rsidRPr="008F4B40">
        <w:rPr>
          <w:rFonts w:ascii="Palatino Linotype" w:hAnsi="Palatino Linotype" w:cs="Times New Roman"/>
          <w:i/>
          <w:sz w:val="20"/>
          <w:szCs w:val="20"/>
          <w:shd w:val="clear" w:color="auto" w:fill="FFFFFF"/>
        </w:rPr>
        <w:fldChar w:fldCharType="end"/>
      </w:r>
      <w:r w:rsidRPr="008F4B40">
        <w:rPr>
          <w:rFonts w:ascii="Palatino Linotype" w:hAnsi="Palatino Linotype" w:cs="Times New Roman"/>
          <w:sz w:val="20"/>
          <w:szCs w:val="20"/>
          <w:shd w:val="clear" w:color="auto" w:fill="FFFFFF"/>
        </w:rPr>
        <w:t xml:space="preserve">.  </w:t>
      </w:r>
    </w:p>
    <w:p w:rsidR="008802B1" w:rsidRPr="008F4B40" w:rsidRDefault="008802B1" w:rsidP="00F315E9">
      <w:pPr>
        <w:pStyle w:val="2"/>
        <w:numPr>
          <w:ilvl w:val="0"/>
          <w:numId w:val="33"/>
        </w:numPr>
        <w:spacing w:before="0" w:line="240" w:lineRule="auto"/>
        <w:rPr>
          <w:rFonts w:ascii="Palatino Linotype" w:hAnsi="Palatino Linotype" w:cs="Times New Roman"/>
          <w:color w:val="auto"/>
          <w:sz w:val="20"/>
          <w:szCs w:val="20"/>
        </w:rPr>
      </w:pPr>
      <w:bookmarkStart w:id="55" w:name="_Data_processing_and"/>
      <w:bookmarkStart w:id="56" w:name="_Toc500722092"/>
      <w:bookmarkStart w:id="57" w:name="_Toc38967969"/>
      <w:bookmarkStart w:id="58" w:name="OLE_LINK103"/>
      <w:bookmarkStart w:id="59" w:name="OLE_LINK104"/>
      <w:bookmarkEnd w:id="55"/>
      <w:r w:rsidRPr="008F4B40">
        <w:rPr>
          <w:rFonts w:ascii="Palatino Linotype" w:hAnsi="Palatino Linotype" w:cs="Times New Roman"/>
          <w:color w:val="auto"/>
          <w:sz w:val="20"/>
          <w:szCs w:val="20"/>
        </w:rPr>
        <w:t>Data processing and reconciliation</w:t>
      </w:r>
      <w:bookmarkEnd w:id="56"/>
      <w:bookmarkEnd w:id="57"/>
    </w:p>
    <w:bookmarkEnd w:id="58"/>
    <w:bookmarkEnd w:id="59"/>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In the data-driven modelling approach, time-series of extracellular fluxes are derived by taking derivatives of concentration measurements (central difference approximation): </w:t>
      </w:r>
    </w:p>
    <w:tbl>
      <w:tblPr>
        <w:tblW w:w="5000" w:type="pct"/>
        <w:tblLook w:val="04A0" w:firstRow="1" w:lastRow="0" w:firstColumn="1" w:lastColumn="0" w:noHBand="0" w:noVBand="1"/>
      </w:tblPr>
      <w:tblGrid>
        <w:gridCol w:w="8330"/>
        <w:gridCol w:w="1632"/>
      </w:tblGrid>
      <w:tr w:rsidR="008802B1" w:rsidRPr="008F4B40" w:rsidTr="008802B1">
        <w:tc>
          <w:tcPr>
            <w:tcW w:w="4181" w:type="pct"/>
            <w:vAlign w:val="center"/>
          </w:tcPr>
          <w:p w:rsidR="008802B1" w:rsidRPr="008F4B40" w:rsidRDefault="0033302D" w:rsidP="008802B1">
            <w:pPr>
              <w:pStyle w:val="ad"/>
              <w:autoSpaceDE w:val="0"/>
              <w:autoSpaceDN w:val="0"/>
              <w:adjustRightInd w:val="0"/>
              <w:spacing w:after="0" w:line="240" w:lineRule="auto"/>
              <w:ind w:left="375"/>
              <w:jc w:val="center"/>
              <w:rPr>
                <w:rFonts w:ascii="Palatino Linotype" w:hAnsi="Palatino Linotype" w:cs="Times New Roman"/>
                <w:i/>
                <w:sz w:val="20"/>
                <w:szCs w:val="20"/>
                <w:shd w:val="clear" w:color="auto" w:fill="FFFFFF"/>
              </w:rPr>
            </w:pPr>
            <m:oMathPara>
              <m:oMath>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v</m:t>
                    </m:r>
                  </m:e>
                  <m:sub>
                    <m:r>
                      <w:rPr>
                        <w:rFonts w:ascii="Cambria Math" w:hAnsi="Cambria Math" w:cs="Times New Roman"/>
                        <w:sz w:val="20"/>
                        <w:szCs w:val="20"/>
                        <w:shd w:val="clear" w:color="auto" w:fill="FFFFFF"/>
                      </w:rPr>
                      <m:t>met,t</m:t>
                    </m:r>
                  </m:sub>
                </m:sSub>
                <m:r>
                  <w:rPr>
                    <w:rFonts w:ascii="Cambria Math" w:hAnsi="Cambria Math" w:cs="Times New Roman"/>
                    <w:sz w:val="20"/>
                    <w:szCs w:val="20"/>
                    <w:shd w:val="clear" w:color="auto" w:fill="FFFFFF"/>
                  </w:rPr>
                  <m:t>=</m:t>
                </m:r>
                <m:f>
                  <m:fPr>
                    <m:ctrlPr>
                      <w:rPr>
                        <w:rFonts w:ascii="Cambria Math" w:hAnsi="Cambria Math" w:cs="Times New Roman"/>
                        <w:sz w:val="20"/>
                        <w:szCs w:val="20"/>
                        <w:shd w:val="clear" w:color="auto" w:fill="FFFFFF"/>
                      </w:rPr>
                    </m:ctrlPr>
                  </m:fPr>
                  <m:num>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met,t+1</m:t>
                        </m:r>
                      </m:sub>
                    </m:sSub>
                    <m:r>
                      <w:rPr>
                        <w:rFonts w:ascii="Cambria Math" w:hAnsi="Cambria Math" w:cs="Times New Roman"/>
                        <w:sz w:val="20"/>
                        <w:szCs w:val="20"/>
                        <w:shd w:val="clear" w:color="auto" w:fill="FFFFFF"/>
                      </w:rPr>
                      <m:t>-</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met, t-1</m:t>
                        </m:r>
                      </m:sub>
                    </m:sSub>
                  </m:num>
                  <m:den>
                    <m:r>
                      <w:rPr>
                        <w:rFonts w:ascii="Cambria Math" w:hAnsi="Cambria Math" w:cs="Times New Roman"/>
                        <w:sz w:val="20"/>
                        <w:szCs w:val="20"/>
                        <w:shd w:val="clear" w:color="auto" w:fill="FFFFFF"/>
                      </w:rPr>
                      <m:t>2∆t</m:t>
                    </m:r>
                  </m:den>
                </m:f>
                <m:r>
                  <w:rPr>
                    <w:rFonts w:ascii="Cambria Math" w:hAnsi="Cambria Math" w:cs="Times New Roman"/>
                    <w:sz w:val="20"/>
                    <w:szCs w:val="20"/>
                    <w:shd w:val="clear" w:color="auto" w:fill="FFFFFF"/>
                  </w:rPr>
                  <m:t xml:space="preserve"> </m:t>
                </m:r>
                <m:f>
                  <m:fPr>
                    <m:ctrlPr>
                      <w:rPr>
                        <w:rFonts w:ascii="Cambria Math" w:hAnsi="Cambria Math" w:cs="Times New Roman"/>
                        <w:sz w:val="20"/>
                        <w:szCs w:val="20"/>
                        <w:shd w:val="clear" w:color="auto" w:fill="FFFFFF"/>
                      </w:rPr>
                    </m:ctrlPr>
                  </m:fPr>
                  <m:num>
                    <m:r>
                      <w:rPr>
                        <w:rFonts w:ascii="Cambria Math" w:hAnsi="Cambria Math" w:cs="Times New Roman"/>
                        <w:sz w:val="20"/>
                        <w:szCs w:val="20"/>
                        <w:shd w:val="clear" w:color="auto" w:fill="FFFFFF"/>
                      </w:rPr>
                      <m:t>1</m:t>
                    </m:r>
                  </m:num>
                  <m:den>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DCW, t</m:t>
                        </m:r>
                      </m:sub>
                    </m:sSub>
                  </m:den>
                </m:f>
              </m:oMath>
            </m:oMathPara>
          </w:p>
        </w:tc>
        <w:tc>
          <w:tcPr>
            <w:tcW w:w="819" w:type="pct"/>
            <w:vAlign w:val="center"/>
          </w:tcPr>
          <w:p w:rsidR="008802B1" w:rsidRPr="008F4B40" w:rsidRDefault="000C1C45" w:rsidP="008802B1">
            <w:pPr>
              <w:spacing w:after="0" w:line="360" w:lineRule="auto"/>
              <w:jc w:val="center"/>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16</w:t>
            </w:r>
          </w:p>
        </w:tc>
      </w:tr>
    </w:tbl>
    <w:p w:rsidR="008802B1" w:rsidRPr="008F4B40" w:rsidRDefault="008802B1" w:rsidP="008802B1">
      <w:pPr>
        <w:autoSpaceDE w:val="0"/>
        <w:autoSpaceDN w:val="0"/>
        <w:adjustRightInd w:val="0"/>
        <w:spacing w:after="0" w:line="24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Where:</w:t>
      </w:r>
    </w:p>
    <w:p w:rsidR="008802B1" w:rsidRPr="008F4B40" w:rsidRDefault="008802B1" w:rsidP="008802B1">
      <w:pPr>
        <w:autoSpaceDE w:val="0"/>
        <w:autoSpaceDN w:val="0"/>
        <w:adjustRightInd w:val="0"/>
        <w:spacing w:after="0" w:line="24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noProof/>
          <w:sz w:val="20"/>
          <w:szCs w:val="20"/>
          <w:shd w:val="clear" w:color="auto" w:fill="FFFFFF"/>
        </w:rPr>
        <w:t>v</w:t>
      </w:r>
      <w:r w:rsidRPr="008F4B40">
        <w:rPr>
          <w:rFonts w:ascii="Palatino Linotype" w:hAnsi="Palatino Linotype" w:cs="Times New Roman"/>
          <w:noProof/>
          <w:sz w:val="20"/>
          <w:szCs w:val="20"/>
          <w:shd w:val="clear" w:color="auto" w:fill="FFFFFF"/>
          <w:vertAlign w:val="subscript"/>
        </w:rPr>
        <w:t>met</w:t>
      </w:r>
      <w:r w:rsidRPr="008F4B40">
        <w:rPr>
          <w:rFonts w:ascii="Palatino Linotype" w:hAnsi="Palatino Linotype" w:cs="Times New Roman"/>
          <w:sz w:val="20"/>
          <w:szCs w:val="20"/>
          <w:shd w:val="clear" w:color="auto" w:fill="FFFFFF"/>
          <w:vertAlign w:val="subscript"/>
        </w:rPr>
        <w:t>,t</w:t>
      </w:r>
      <w:r w:rsidRPr="008F4B40">
        <w:rPr>
          <w:rFonts w:ascii="Palatino Linotype" w:hAnsi="Palatino Linotype" w:cs="Times New Roman"/>
          <w:sz w:val="20"/>
          <w:szCs w:val="20"/>
          <w:shd w:val="clear" w:color="auto" w:fill="FFFFFF"/>
        </w:rPr>
        <w:t xml:space="preserve"> is the exchange flux with respect to an extracellular metabolite (either uptake or excretion) at time t</w:t>
      </w:r>
    </w:p>
    <w:p w:rsidR="008802B1" w:rsidRPr="008F4B40" w:rsidRDefault="008802B1" w:rsidP="008802B1">
      <w:pPr>
        <w:autoSpaceDE w:val="0"/>
        <w:autoSpaceDN w:val="0"/>
        <w:adjustRightInd w:val="0"/>
        <w:spacing w:after="0" w:line="24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noProof/>
          <w:sz w:val="20"/>
          <w:szCs w:val="20"/>
          <w:shd w:val="clear" w:color="auto" w:fill="FFFFFF"/>
        </w:rPr>
        <w:t>C</w:t>
      </w:r>
      <w:r w:rsidRPr="008F4B40">
        <w:rPr>
          <w:rFonts w:ascii="Palatino Linotype" w:hAnsi="Palatino Linotype" w:cs="Times New Roman"/>
          <w:noProof/>
          <w:sz w:val="20"/>
          <w:szCs w:val="20"/>
          <w:shd w:val="clear" w:color="auto" w:fill="FFFFFF"/>
          <w:vertAlign w:val="subscript"/>
        </w:rPr>
        <w:t>met</w:t>
      </w:r>
      <w:r w:rsidRPr="008F4B40">
        <w:rPr>
          <w:rFonts w:ascii="Palatino Linotype" w:hAnsi="Palatino Linotype" w:cs="Times New Roman"/>
          <w:sz w:val="20"/>
          <w:szCs w:val="20"/>
          <w:shd w:val="clear" w:color="auto" w:fill="FFFFFF"/>
          <w:vertAlign w:val="subscript"/>
        </w:rPr>
        <w:t>,t</w:t>
      </w:r>
      <w:r w:rsidRPr="008F4B40">
        <w:rPr>
          <w:rFonts w:ascii="Palatino Linotype" w:hAnsi="Palatino Linotype" w:cs="Times New Roman"/>
          <w:sz w:val="20"/>
          <w:szCs w:val="20"/>
          <w:shd w:val="clear" w:color="auto" w:fill="FFFFFF"/>
        </w:rPr>
        <w:t xml:space="preserve"> is the concentration of the metabolite in mmol/l. </w:t>
      </w:r>
    </w:p>
    <w:p w:rsidR="008802B1" w:rsidRPr="008F4B40" w:rsidRDefault="008802B1" w:rsidP="008802B1">
      <w:pPr>
        <w:autoSpaceDE w:val="0"/>
        <w:autoSpaceDN w:val="0"/>
        <w:adjustRightInd w:val="0"/>
        <w:spacing w:after="0" w:line="24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Δt is the time difference between any two measurements.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Fluxes are normalised by dividing each calculated gradient by the concentration of active biomass in g/l. Hence the unit of metabolic flux is millimole per hour per </w:t>
      </w:r>
      <w:r w:rsidRPr="008F4B40">
        <w:rPr>
          <w:rFonts w:ascii="Palatino Linotype" w:hAnsi="Palatino Linotype" w:cs="Times New Roman"/>
          <w:noProof/>
          <w:sz w:val="20"/>
          <w:szCs w:val="20"/>
          <w:shd w:val="clear" w:color="auto" w:fill="FFFFFF"/>
        </w:rPr>
        <w:t>gramme</w:t>
      </w:r>
      <w:r w:rsidRPr="008F4B40">
        <w:rPr>
          <w:rFonts w:ascii="Palatino Linotype" w:hAnsi="Palatino Linotype" w:cs="Times New Roman"/>
          <w:sz w:val="20"/>
          <w:szCs w:val="20"/>
          <w:shd w:val="clear" w:color="auto" w:fill="FFFFFF"/>
        </w:rPr>
        <w:t xml:space="preserve"> of active biomass (i.e. mmol/(h·gDCW)).</w:t>
      </w:r>
    </w:p>
    <w:p w:rsidR="008802B1" w:rsidRPr="008F4B40" w:rsidRDefault="008802B1" w:rsidP="00F315E9">
      <w:pPr>
        <w:pStyle w:val="3"/>
        <w:numPr>
          <w:ilvl w:val="1"/>
          <w:numId w:val="33"/>
        </w:numPr>
        <w:spacing w:before="0"/>
        <w:rPr>
          <w:rFonts w:ascii="Palatino Linotype" w:hAnsi="Palatino Linotype" w:cs="Times New Roman"/>
          <w:color w:val="auto"/>
          <w:sz w:val="20"/>
          <w:szCs w:val="20"/>
        </w:rPr>
      </w:pPr>
      <w:bookmarkStart w:id="60" w:name="_Smoothing_of_concentration"/>
      <w:bookmarkStart w:id="61" w:name="_Toc500722093"/>
      <w:bookmarkStart w:id="62" w:name="_Toc38967970"/>
      <w:bookmarkEnd w:id="60"/>
      <w:r w:rsidRPr="008F4B40">
        <w:rPr>
          <w:rFonts w:ascii="Palatino Linotype" w:hAnsi="Palatino Linotype" w:cs="Times New Roman"/>
          <w:color w:val="auto"/>
          <w:sz w:val="20"/>
          <w:szCs w:val="20"/>
        </w:rPr>
        <w:lastRenderedPageBreak/>
        <w:t>Smoothing of concentration profiles</w:t>
      </w:r>
      <w:bookmarkEnd w:id="61"/>
      <w:bookmarkEnd w:id="62"/>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Extracellular fluxes are very sensitive to concentration measurements. Given that noise and fluctuations exist ubiquitously in the measurements, a </w:t>
      </w:r>
      <w:r w:rsidRPr="008F4B40">
        <w:rPr>
          <w:rFonts w:ascii="Palatino Linotype" w:hAnsi="Palatino Linotype" w:cs="Times New Roman"/>
          <w:noProof/>
          <w:sz w:val="20"/>
          <w:szCs w:val="20"/>
          <w:shd w:val="clear" w:color="auto" w:fill="FFFFFF"/>
        </w:rPr>
        <w:t>direct</w:t>
      </w:r>
      <w:r w:rsidRPr="008F4B40">
        <w:rPr>
          <w:rFonts w:ascii="Palatino Linotype" w:hAnsi="Palatino Linotype" w:cs="Times New Roman"/>
          <w:sz w:val="20"/>
          <w:szCs w:val="20"/>
          <w:shd w:val="clear" w:color="auto" w:fill="FFFFFF"/>
        </w:rPr>
        <w:t xml:space="preserve"> approximation of extracellular fluxes using finite difference methods can introduce amplified errors, consequently compromising the reliability of the results. Therefore, it is necessary to apply appropriate data smoothing techniques to experimental data while avoid losing too much information.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 xml:space="preserve">Various offline fitting and filtering procedures have been proposed, such as spline fitting </w:t>
      </w:r>
      <w:r w:rsidRPr="008F4B40">
        <w:rPr>
          <w:rFonts w:ascii="Palatino Linotype" w:hAnsi="Palatino Linotype" w:cs="Times New Roman"/>
          <w:i/>
          <w:sz w:val="20"/>
          <w:szCs w:val="20"/>
          <w:shd w:val="clear" w:color="auto" w:fill="FFFFFF"/>
        </w:rPr>
        <w:fldChar w:fldCharType="begin" w:fldLock="1"/>
      </w:r>
      <w:r w:rsidR="00AC7961" w:rsidRPr="008F4B40">
        <w:rPr>
          <w:rFonts w:ascii="Palatino Linotype" w:hAnsi="Palatino Linotype" w:cs="Times New Roman"/>
          <w:sz w:val="20"/>
          <w:szCs w:val="20"/>
          <w:shd w:val="clear" w:color="auto" w:fill="FFFFFF"/>
        </w:rPr>
        <w:instrText>ADDIN CSL_CITATION {"citationItems":[{"id":"ITEM-1","itemData":{"DOI":"10.1007/s00449-010-0502-y","ISSN":"1615-7605","PMID":"21188421","abstract":"For the improved production of vaccines and therapeutic proteins, a detailed understanding of the metabolic dynamics during batch or fed-batch production is requested. To study the new human cell line AGE1.HN, a flexible metabolic flux analysis method was developed that is considering dynamic changes in growth and metabolism during cultivation. This method comprises analysis of formation of cellular components as well as conversion of major substrates and products, spline fitting of dynamic data and flux estimation using metabolite balancing. During batch cultivation of AGE1.HN three distinct phases were observed, an initial one with consumption of pyruvate and high glycolytic activity, a second characterized by a highly efficient metabolism with very little energy spilling waste production and a third with glutamine limitation and decreasing viability. Main events triggering changes in cellular metabolism were depletion of pyruvate and glutamine. Potential targets for the improvement identified from the analysis are (i) reduction of overflow metabolism in the beginning of cultivation, e.g. accomplished by reduction of pyruvate content in the medium and (ii) prolongation of phase 2 with its highly efficient energy metabolism applying e.g. specific feeding strategies. The method presented allows fast and reliable metabolic flux analysis during the development of producer cells and production processes from microtiter plate to large scale reactors with moderate analytical and computational effort. It seems well suited to guide media optimization and genetic engineering of producing cell lines.","author":[{"dropping-particle":"","family":"Niklas","given":"Jens","non-dropping-particle":"","parse-names":false,"suffix":""},{"dropping-particle":"","family":"Schräder","given":"Eva","non-dropping-particle":"","parse-names":false,"suffix":""},{"dropping-particle":"","family":"Sandig","given":"Volker","non-dropping-particle":"","parse-names":false,"suffix":""},{"dropping-particle":"","family":"Noll","given":"Thomas","non-dropping-particle":"","parse-names":false,"suffix":""},{"dropping-particle":"","family":"Heinzle","given":"Elmar","non-dropping-particle":"","parse-names":false,"suffix":""}],"container-title":"Bioprocess and biosystems engineering","id":"ITEM-1","issue":"5","issued":{"date-parts":[["2011","6"]]},"page":"533-45","title":"Quantitative characterization of metabolism and metabolic shifts during growth of the new human cell line AGE1.HN using time resolved metabolic flux analysis.","type":"article-journal","volume":"34"},"uris":["http://www.mendeley.com/documents/?uuid=571da756-b68c-4585-9a08-277556dc2a78"]}],"mendeley":{"formattedCitation":"[7]","plainTextFormattedCitation":"[7]","previouslyFormattedCitation":"[7]"},"properties":{"noteIndex":0},"schema":"https://github.com/citation-style-language/schema/raw/master/csl-citation.json"}</w:instrText>
      </w:r>
      <w:r w:rsidRPr="008F4B40">
        <w:rPr>
          <w:rFonts w:ascii="Palatino Linotype" w:hAnsi="Palatino Linotype" w:cs="Times New Roman"/>
          <w:i/>
          <w:sz w:val="20"/>
          <w:szCs w:val="20"/>
          <w:shd w:val="clear" w:color="auto" w:fill="FFFFFF"/>
        </w:rPr>
        <w:fldChar w:fldCharType="separate"/>
      </w:r>
      <w:r w:rsidRPr="008F4B40">
        <w:rPr>
          <w:rFonts w:ascii="Palatino Linotype" w:hAnsi="Palatino Linotype" w:cs="Times New Roman"/>
          <w:noProof/>
          <w:sz w:val="20"/>
          <w:szCs w:val="20"/>
          <w:shd w:val="clear" w:color="auto" w:fill="FFFFFF"/>
        </w:rPr>
        <w:t>[7]</w:t>
      </w:r>
      <w:r w:rsidRPr="008F4B40">
        <w:rPr>
          <w:rFonts w:ascii="Palatino Linotype" w:hAnsi="Palatino Linotype" w:cs="Times New Roman"/>
          <w:i/>
          <w:sz w:val="20"/>
          <w:szCs w:val="20"/>
          <w:shd w:val="clear" w:color="auto" w:fill="FFFFFF"/>
        </w:rPr>
        <w:fldChar w:fldCharType="end"/>
      </w:r>
      <w:r w:rsidRPr="008F4B40">
        <w:rPr>
          <w:rFonts w:ascii="Palatino Linotype" w:hAnsi="Palatino Linotype" w:cs="Times New Roman"/>
          <w:sz w:val="20"/>
          <w:szCs w:val="20"/>
          <w:shd w:val="clear" w:color="auto" w:fill="FFFFFF"/>
        </w:rPr>
        <w:t xml:space="preserve">, polynomial fitting </w:t>
      </w:r>
      <w:r w:rsidRPr="008F4B40">
        <w:rPr>
          <w:rFonts w:ascii="Palatino Linotype" w:hAnsi="Palatino Linotype" w:cs="Times New Roman"/>
          <w:i/>
          <w:sz w:val="20"/>
          <w:szCs w:val="20"/>
          <w:shd w:val="clear" w:color="auto" w:fill="FFFFFF"/>
        </w:rPr>
        <w:fldChar w:fldCharType="begin" w:fldLock="1"/>
      </w:r>
      <w:r w:rsidR="00AC7961" w:rsidRPr="008F4B40">
        <w:rPr>
          <w:rFonts w:ascii="Palatino Linotype" w:hAnsi="Palatino Linotype" w:cs="Times New Roman"/>
          <w:sz w:val="20"/>
          <w:szCs w:val="20"/>
          <w:shd w:val="clear" w:color="auto" w:fill="FFFFFF"/>
        </w:rPr>
        <w:instrText>ADDIN CSL_CITATION {"citationItems":[{"id":"ITEM-1","itemData":{"DOI":"10.1155/2010/621645","ISSN":"1110-7251","PMID":"20827435","abstract":"The main requirement for metabolic flux analysis (MFA) is that the cells are in a pseudo-steady state, that there is no accumulation or depletion of intracellular metabolites. In the past, the applications of MFA were limited to the analysis of continuous cultures. This contribution introduces the concept of dynamic MFA and extends MFA so that it is applicable to transient cultures. Time series of concentration measurements are transformed into flux values. This transformation involves differentiation, which typically increases the noisiness of the data. Therefore, a noise-reducing step is needed. In this work, polynomial smoothing was used. As a test case, dynamic MFA is applied on Escherichia coli cultivations shifting from carbon limitation to nitrogen limitation and vice versa. After switching the limiting substrate from N to C, a lag phase was observed accompanied with an increase in maintenance energy requirement. This lag phase did not occur in the C- to N-limitation case.","author":[{"dropping-particle":"","family":"Lequeux","given":"Gaspard","non-dropping-particle":"","parse-names":false,"suffix":""},{"dropping-particle":"","family":"Beauprez","given":"Joeri","non-dropping-particle":"","parse-names":false,"suffix":""},{"dropping-particle":"","family":"Maertens","given":"Jo","non-dropping-particle":"","parse-names":false,"suffix":""},{"dropping-particle":"","family":"Horen","given":"Ellen","non-dropping-particle":"Van","parse-names":false,"suffix":""},{"dropping-particle":"","family":"Soetaert","given":"Wim","non-dropping-particle":"","parse-names":false,"suffix":""},{"dropping-particle":"","family":"Vandamme","given":"Erick","non-dropping-particle":"","parse-names":false,"suffix":""},{"dropping-particle":"","family":"Vanrolleghem","given":"Peter a","non-dropping-particle":"","parse-names":false,"suffix":""}],"container-title":"Journal of biomedicine &amp; biotechnology","id":"ITEM-1","issued":{"date-parts":[["2010","1"]]},"title":"Dynamic metabolic flux analysis demonstrated on cultures where the limiting substrate is changed from carbon to nitrogen and vice versa.","type":"article-journal","volume":"2010"},"uris":["http://www.mendeley.com/documents/?uuid=3bf01464-106a-4bc9-bc6d-8e08ef6a6c76"]}],"mendeley":{"formattedCitation":"[8]","plainTextFormattedCitation":"[8]","previouslyFormattedCitation":"[8]"},"properties":{"noteIndex":0},"schema":"https://github.com/citation-style-language/schema/raw/master/csl-citation.json"}</w:instrText>
      </w:r>
      <w:r w:rsidRPr="008F4B40">
        <w:rPr>
          <w:rFonts w:ascii="Palatino Linotype" w:hAnsi="Palatino Linotype" w:cs="Times New Roman"/>
          <w:i/>
          <w:sz w:val="20"/>
          <w:szCs w:val="20"/>
          <w:shd w:val="clear" w:color="auto" w:fill="FFFFFF"/>
        </w:rPr>
        <w:fldChar w:fldCharType="separate"/>
      </w:r>
      <w:r w:rsidRPr="008F4B40">
        <w:rPr>
          <w:rFonts w:ascii="Palatino Linotype" w:hAnsi="Palatino Linotype" w:cs="Times New Roman"/>
          <w:noProof/>
          <w:sz w:val="20"/>
          <w:szCs w:val="20"/>
          <w:shd w:val="clear" w:color="auto" w:fill="FFFFFF"/>
        </w:rPr>
        <w:t>[8]</w:t>
      </w:r>
      <w:r w:rsidRPr="008F4B40">
        <w:rPr>
          <w:rFonts w:ascii="Palatino Linotype" w:hAnsi="Palatino Linotype" w:cs="Times New Roman"/>
          <w:i/>
          <w:sz w:val="20"/>
          <w:szCs w:val="20"/>
          <w:shd w:val="clear" w:color="auto" w:fill="FFFFFF"/>
        </w:rPr>
        <w:fldChar w:fldCharType="end"/>
      </w:r>
      <w:r w:rsidRPr="008F4B40">
        <w:rPr>
          <w:rFonts w:ascii="Palatino Linotype" w:hAnsi="Palatino Linotype" w:cs="Times New Roman"/>
          <w:sz w:val="20"/>
          <w:szCs w:val="20"/>
          <w:shd w:val="clear" w:color="auto" w:fill="FFFFFF"/>
        </w:rPr>
        <w:t xml:space="preserve">, moving average </w:t>
      </w:r>
      <w:r w:rsidRPr="008F4B40">
        <w:rPr>
          <w:rFonts w:ascii="Palatino Linotype" w:hAnsi="Palatino Linotype" w:cs="Times New Roman"/>
          <w:i/>
          <w:sz w:val="20"/>
          <w:szCs w:val="20"/>
          <w:shd w:val="clear" w:color="auto" w:fill="FFFFFF"/>
        </w:rPr>
        <w:fldChar w:fldCharType="begin" w:fldLock="1"/>
      </w:r>
      <w:r w:rsidR="00AC7961" w:rsidRPr="008F4B40">
        <w:rPr>
          <w:rFonts w:ascii="Palatino Linotype" w:hAnsi="Palatino Linotype" w:cs="Times New Roman"/>
          <w:sz w:val="20"/>
          <w:szCs w:val="20"/>
          <w:shd w:val="clear" w:color="auto" w:fill="FFFFFF"/>
        </w:rPr>
        <w:instrText>ADDIN CSL_CITATION {"citationItems":[{"id":"ITEM-1","itemData":{"DOI":"10.1186/1471-2105-8-421","ISSN":"14712105","PMID":"17971203","abstract":"BACKGROUND: An indirect approach is usually used to estimate the metabolic fluxes of an organism: couple the available measurements with known biological constraints (e.g. stoichiometry). Typically this estimation is done under a static point of view. Therefore, the fluxes so obtained are only valid while the environmental conditions and the cell state remain stable. However, estimating the evolution over time of the metabolic fluxes is valuable to investigate the dynamic behaviour of an organism and also to monitor industrial processes. Although Metabolic Flux Analysis can be successively applied with this aim, this approach has two drawbacks: i) sometimes it cannot be used because there is a lack of measurable fluxes, and ii) the uncertainty of experimental measurements cannot be considered. The Flux Balance Analysis could be used instead, but the assumption of optimal behaviour of the organism brings other difficulties. RESULTS: We propose a procedure to estimate the evolution of the metabolic fluxes that is structured as follows: 1) measure the concentrations of extracellular species and biomass, 2) convert this data to measured fluxes and 3) estimate the non-measured fluxes using the Flux Spectrum Approach, a variant of Metabolic Flux Analysis that overcomes the difficulties mentioned above without assuming optimal behaviour. We apply the procedure to a real problem taken from the literature: estimate the metabolic fluxes during a cultivation of CHO cells in batch mode. We show that it provides a reliable and rich estimation of the non-measured fluxes, thanks to considering measurements uncertainty and reversibility constraints. We also demonstrate that this procedure can estimate the non-measured fluxes even when there is a lack of measurable species. In addition, it offers a new method to deal with inconsistency. CONCLUSION: This work introduces a procedure to estimate time-varying metabolic fluxes that copes with the insufficiency of measured species and with its intrinsic uncertainty. The procedure can be used as an off-line analysis of previously collected data, providing an insight into the dynamic behaviour of the organism. It can be also profitable to the on-line monitoring of a running process, mitigating the traditional lack of reliable on-line sensors in industrial environments.","author":[{"dropping-particle":"","family":"Llaneras","given":"Francisco","non-dropping-particle":"","parse-names":false,"suffix":""},{"dropping-particle":"","family":"Picó","given":"Jesús","non-dropping-particle":"","parse-names":false,"suffix":""}],"container-title":"BMC bioinformatics","id":"ITEM-1","issued":{"date-parts":[["2007","1"]]},"page":"421","title":"A procedure for the estimation over time of metabolic fluxes in scenarios where measurements are uncertain and/or insufficient.","type":"article-journal","volume":"8"},"uris":["http://www.mendeley.com/documents/?uuid=2d4045d0-43c6-4e76-b77d-cda31b441de5"]}],"mendeley":{"formattedCitation":"[9]","plainTextFormattedCitation":"[9]","previouslyFormattedCitation":"[9]"},"properties":{"noteIndex":0},"schema":"https://github.com/citation-style-language/schema/raw/master/csl-citation.json"}</w:instrText>
      </w:r>
      <w:r w:rsidRPr="008F4B40">
        <w:rPr>
          <w:rFonts w:ascii="Palatino Linotype" w:hAnsi="Palatino Linotype" w:cs="Times New Roman"/>
          <w:i/>
          <w:sz w:val="20"/>
          <w:szCs w:val="20"/>
          <w:shd w:val="clear" w:color="auto" w:fill="FFFFFF"/>
        </w:rPr>
        <w:fldChar w:fldCharType="separate"/>
      </w:r>
      <w:r w:rsidRPr="008F4B40">
        <w:rPr>
          <w:rFonts w:ascii="Palatino Linotype" w:hAnsi="Palatino Linotype" w:cs="Times New Roman"/>
          <w:noProof/>
          <w:sz w:val="20"/>
          <w:szCs w:val="20"/>
          <w:shd w:val="clear" w:color="auto" w:fill="FFFFFF"/>
        </w:rPr>
        <w:t>[9]</w:t>
      </w:r>
      <w:r w:rsidRPr="008F4B40">
        <w:rPr>
          <w:rFonts w:ascii="Palatino Linotype" w:hAnsi="Palatino Linotype" w:cs="Times New Roman"/>
          <w:i/>
          <w:sz w:val="20"/>
          <w:szCs w:val="20"/>
          <w:shd w:val="clear" w:color="auto" w:fill="FFFFFF"/>
        </w:rPr>
        <w:fldChar w:fldCharType="end"/>
      </w:r>
      <w:r w:rsidRPr="008F4B40">
        <w:rPr>
          <w:rFonts w:ascii="Palatino Linotype" w:hAnsi="Palatino Linotype" w:cs="Times New Roman"/>
          <w:sz w:val="20"/>
          <w:szCs w:val="20"/>
          <w:shd w:val="clear" w:color="auto" w:fill="FFFFFF"/>
        </w:rPr>
        <w:t xml:space="preserve"> and Kalman filter </w:t>
      </w:r>
      <w:r w:rsidRPr="008F4B40">
        <w:rPr>
          <w:rFonts w:ascii="Palatino Linotype" w:hAnsi="Palatino Linotype" w:cs="Times New Roman"/>
          <w:i/>
          <w:sz w:val="20"/>
          <w:szCs w:val="20"/>
          <w:shd w:val="clear" w:color="auto" w:fill="FFFFFF"/>
        </w:rPr>
        <w:fldChar w:fldCharType="begin" w:fldLock="1"/>
      </w:r>
      <w:r w:rsidR="00AC7961" w:rsidRPr="008F4B40">
        <w:rPr>
          <w:rFonts w:ascii="Palatino Linotype" w:hAnsi="Palatino Linotype" w:cs="Times New Roman"/>
          <w:sz w:val="20"/>
          <w:szCs w:val="20"/>
          <w:shd w:val="clear" w:color="auto" w:fill="FFFFFF"/>
        </w:rPr>
        <w:instrText>ADDIN CSL_CITATION {"citationItems":[{"id":"ITEM-1","itemData":{"author":[{"dropping-particle":"","family":"Henry","given":"O.","non-dropping-particle":"","parse-names":false,"suffix":""},{"dropping-particle":"","family":"Kamen","given":"A.","non-dropping-particle":"","parse-names":false,"suffix":""},{"dropping-particle":"","family":"Perrier","given":"M.","non-dropping-particle":"","parse-names":false,"suffix":""}],"container-title":"Journal of Process Control","id":"ITEM-1","issue":"3","issued":{"date-parts":[["2007"]]},"page":"241-251","title":"Monitoring the physiological state of mammalian cell perfusion processes by on-line estimation of intracellular fluxes","type":"article-journal","volume":"17"},"uris":["http://www.mendeley.com/documents/?uuid=2d0b6bdc-5d1c-4e98-9e96-4f52a232a50d"]}],"mendeley":{"formattedCitation":"[10]","plainTextFormattedCitation":"[10]","previouslyFormattedCitation":"[10]"},"properties":{"noteIndex":0},"schema":"https://github.com/citation-style-language/schema/raw/master/csl-citation.json"}</w:instrText>
      </w:r>
      <w:r w:rsidRPr="008F4B40">
        <w:rPr>
          <w:rFonts w:ascii="Palatino Linotype" w:hAnsi="Palatino Linotype" w:cs="Times New Roman"/>
          <w:i/>
          <w:sz w:val="20"/>
          <w:szCs w:val="20"/>
          <w:shd w:val="clear" w:color="auto" w:fill="FFFFFF"/>
        </w:rPr>
        <w:fldChar w:fldCharType="separate"/>
      </w:r>
      <w:r w:rsidRPr="008F4B40">
        <w:rPr>
          <w:rFonts w:ascii="Palatino Linotype" w:hAnsi="Palatino Linotype" w:cs="Times New Roman"/>
          <w:noProof/>
          <w:sz w:val="20"/>
          <w:szCs w:val="20"/>
          <w:shd w:val="clear" w:color="auto" w:fill="FFFFFF"/>
        </w:rPr>
        <w:t>[10]</w:t>
      </w:r>
      <w:r w:rsidRPr="008F4B40">
        <w:rPr>
          <w:rFonts w:ascii="Palatino Linotype" w:hAnsi="Palatino Linotype" w:cs="Times New Roman"/>
          <w:i/>
          <w:sz w:val="20"/>
          <w:szCs w:val="20"/>
          <w:shd w:val="clear" w:color="auto" w:fill="FFFFFF"/>
        </w:rPr>
        <w:fldChar w:fldCharType="end"/>
      </w:r>
      <w:r w:rsidRPr="008F4B40">
        <w:rPr>
          <w:rFonts w:ascii="Palatino Linotype" w:hAnsi="Palatino Linotype" w:cs="Times New Roman"/>
          <w:sz w:val="20"/>
          <w:szCs w:val="20"/>
          <w:shd w:val="clear" w:color="auto" w:fill="FFFFFF"/>
        </w:rPr>
        <w:t xml:space="preserve">. In this </w:t>
      </w:r>
      <w:r w:rsidRPr="008F4B40">
        <w:rPr>
          <w:rFonts w:ascii="Palatino Linotype" w:hAnsi="Palatino Linotype" w:cs="Times New Roman"/>
          <w:noProof/>
          <w:sz w:val="20"/>
          <w:szCs w:val="20"/>
          <w:shd w:val="clear" w:color="auto" w:fill="FFFFFF"/>
        </w:rPr>
        <w:t>work,</w:t>
      </w:r>
      <w:r w:rsidRPr="008F4B40">
        <w:rPr>
          <w:rFonts w:ascii="Palatino Linotype" w:hAnsi="Palatino Linotype" w:cs="Times New Roman"/>
          <w:sz w:val="20"/>
          <w:szCs w:val="20"/>
          <w:shd w:val="clear" w:color="auto" w:fill="FFFFFF"/>
        </w:rPr>
        <w:t xml:space="preserve"> we chose to filter the concentration measurements using polynomial fittings in Excel. Based on the smoothed data, the concentration profiles were interpolated at every 0.5-hours using </w:t>
      </w:r>
      <w:r w:rsidRPr="008F4B40">
        <w:rPr>
          <w:rFonts w:ascii="Palatino Linotype" w:hAnsi="Palatino Linotype" w:cs="Times New Roman"/>
          <w:noProof/>
          <w:sz w:val="20"/>
          <w:szCs w:val="20"/>
          <w:shd w:val="clear" w:color="auto" w:fill="FFFFFF"/>
        </w:rPr>
        <w:t>PCHIP</w:t>
      </w:r>
      <w:r w:rsidRPr="008F4B40">
        <w:rPr>
          <w:rFonts w:ascii="Palatino Linotype" w:hAnsi="Palatino Linotype" w:cs="Times New Roman"/>
          <w:sz w:val="20"/>
          <w:szCs w:val="20"/>
          <w:shd w:val="clear" w:color="auto" w:fill="FFFFFF"/>
        </w:rPr>
        <w:t xml:space="preserve"> (Piecewise Cubic Hermite Interpolating Polynomial) in MATLAB. To demonstrate the effect of data smoothing, the smoothed concentration profiles of PHB and TDW, and the resulting rate profiles were compared with the original concentration and rate profiles in Figure </w:t>
      </w:r>
      <w:r w:rsidR="00437BC5" w:rsidRPr="008F4B40">
        <w:rPr>
          <w:rFonts w:ascii="Palatino Linotype" w:hAnsi="Palatino Linotype" w:cs="Times New Roman"/>
          <w:sz w:val="20"/>
          <w:szCs w:val="20"/>
          <w:shd w:val="clear" w:color="auto" w:fill="FFFFFF"/>
        </w:rPr>
        <w:t>7</w:t>
      </w:r>
      <w:r w:rsidRPr="008F4B40">
        <w:rPr>
          <w:rFonts w:ascii="Palatino Linotype" w:hAnsi="Palatino Linotype" w:cs="Times New Roman"/>
          <w:sz w:val="20"/>
          <w:szCs w:val="20"/>
          <w:shd w:val="clear" w:color="auto" w:fill="FFFFFF"/>
        </w:rPr>
        <w:t>. Through applying data smoothing to the raw concentration data, some manifest erratic feature of the original rate profiles, such as negative peaks, can be fixed.</w:t>
      </w:r>
    </w:p>
    <w:tbl>
      <w:tblPr>
        <w:tblW w:w="0" w:type="auto"/>
        <w:jc w:val="center"/>
        <w:tblLook w:val="04A0" w:firstRow="1" w:lastRow="0" w:firstColumn="1" w:lastColumn="0" w:noHBand="0" w:noVBand="1"/>
      </w:tblPr>
      <w:tblGrid>
        <w:gridCol w:w="4566"/>
        <w:gridCol w:w="4710"/>
      </w:tblGrid>
      <w:tr w:rsidR="008802B1" w:rsidRPr="008F4B40" w:rsidTr="008802B1">
        <w:trPr>
          <w:jc w:val="center"/>
        </w:trPr>
        <w:tc>
          <w:tcPr>
            <w:tcW w:w="4532" w:type="dxa"/>
          </w:tcPr>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noProof/>
                <w:sz w:val="20"/>
                <w:szCs w:val="20"/>
              </w:rPr>
              <w:drawing>
                <wp:inline distT="0" distB="0" distL="0" distR="0" wp14:anchorId="690509AC" wp14:editId="0150F61D">
                  <wp:extent cx="2750515" cy="1843430"/>
                  <wp:effectExtent l="0" t="0" r="12065" b="23495"/>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710" w:type="dxa"/>
          </w:tcPr>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noProof/>
                <w:sz w:val="20"/>
                <w:szCs w:val="20"/>
              </w:rPr>
              <w:drawing>
                <wp:inline distT="0" distB="0" distL="0" distR="0" wp14:anchorId="19FE55DC" wp14:editId="4D30898D">
                  <wp:extent cx="2733675" cy="1885950"/>
                  <wp:effectExtent l="0" t="0" r="9525" b="1905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8802B1" w:rsidRPr="008F4B40" w:rsidTr="008802B1">
        <w:trPr>
          <w:jc w:val="center"/>
        </w:trPr>
        <w:tc>
          <w:tcPr>
            <w:tcW w:w="4532" w:type="dxa"/>
          </w:tcPr>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noProof/>
                <w:sz w:val="20"/>
                <w:szCs w:val="20"/>
              </w:rPr>
              <w:drawing>
                <wp:inline distT="0" distB="0" distL="0" distR="0" wp14:anchorId="5A19C724" wp14:editId="29F99B4D">
                  <wp:extent cx="2743200" cy="1809750"/>
                  <wp:effectExtent l="0" t="0" r="19050" b="1905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4710" w:type="dxa"/>
          </w:tcPr>
          <w:p w:rsidR="008802B1" w:rsidRPr="008F4B40" w:rsidRDefault="008802B1" w:rsidP="008802B1">
            <w:pPr>
              <w:autoSpaceDE w:val="0"/>
              <w:autoSpaceDN w:val="0"/>
              <w:adjustRightInd w:val="0"/>
              <w:spacing w:after="0"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b/>
                <w:noProof/>
                <w:sz w:val="20"/>
                <w:szCs w:val="20"/>
              </w:rPr>
              <w:drawing>
                <wp:inline distT="0" distB="0" distL="0" distR="0" wp14:anchorId="67C7B00A" wp14:editId="72B94C04">
                  <wp:extent cx="2733675" cy="1809750"/>
                  <wp:effectExtent l="0" t="0" r="9525" b="1905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802B1" w:rsidRPr="008F4B40" w:rsidRDefault="008802B1" w:rsidP="008802B1">
      <w:pPr>
        <w:pStyle w:val="af"/>
        <w:spacing w:after="0"/>
        <w:jc w:val="center"/>
        <w:rPr>
          <w:rFonts w:ascii="Palatino Linotype" w:hAnsi="Palatino Linotype" w:cs="Times New Roman"/>
          <w:b w:val="0"/>
          <w:noProof/>
          <w:color w:val="auto"/>
          <w:sz w:val="20"/>
          <w:szCs w:val="20"/>
        </w:rPr>
      </w:pPr>
      <w:bookmarkStart w:id="63" w:name="_Toc500722201"/>
      <w:r w:rsidRPr="008F4B40">
        <w:rPr>
          <w:rFonts w:ascii="Palatino Linotype" w:hAnsi="Palatino Linotype" w:cs="Times New Roman"/>
          <w:b w:val="0"/>
          <w:color w:val="auto"/>
          <w:sz w:val="20"/>
          <w:szCs w:val="20"/>
        </w:rPr>
        <w:t xml:space="preserve">Figure </w:t>
      </w:r>
      <w:r w:rsidRPr="008F4B40">
        <w:rPr>
          <w:rFonts w:ascii="Palatino Linotype" w:hAnsi="Palatino Linotype" w:cs="Times New Roman"/>
          <w:b w:val="0"/>
          <w:i/>
          <w:color w:val="auto"/>
          <w:sz w:val="20"/>
          <w:szCs w:val="20"/>
        </w:rPr>
        <w:fldChar w:fldCharType="begin"/>
      </w:r>
      <w:r w:rsidRPr="008F4B40">
        <w:rPr>
          <w:rFonts w:ascii="Palatino Linotype" w:hAnsi="Palatino Linotype" w:cs="Times New Roman"/>
          <w:b w:val="0"/>
          <w:color w:val="auto"/>
          <w:sz w:val="20"/>
          <w:szCs w:val="20"/>
        </w:rPr>
        <w:instrText xml:space="preserve"> SEQ Figure \* ARABIC \s 1 </w:instrText>
      </w:r>
      <w:r w:rsidRPr="008F4B40">
        <w:rPr>
          <w:rFonts w:ascii="Palatino Linotype" w:hAnsi="Palatino Linotype" w:cs="Times New Roman"/>
          <w:b w:val="0"/>
          <w:i/>
          <w:color w:val="auto"/>
          <w:sz w:val="20"/>
          <w:szCs w:val="20"/>
        </w:rPr>
        <w:fldChar w:fldCharType="separate"/>
      </w:r>
      <w:r w:rsidR="000C1C45" w:rsidRPr="008F4B40">
        <w:rPr>
          <w:rFonts w:ascii="Palatino Linotype" w:hAnsi="Palatino Linotype" w:cs="Times New Roman"/>
          <w:b w:val="0"/>
          <w:noProof/>
          <w:color w:val="auto"/>
          <w:sz w:val="20"/>
          <w:szCs w:val="20"/>
        </w:rPr>
        <w:t>7</w:t>
      </w:r>
      <w:r w:rsidRPr="008F4B40">
        <w:rPr>
          <w:rFonts w:ascii="Palatino Linotype" w:hAnsi="Palatino Linotype" w:cs="Times New Roman"/>
          <w:b w:val="0"/>
          <w:i/>
          <w:color w:val="auto"/>
          <w:sz w:val="20"/>
          <w:szCs w:val="20"/>
        </w:rPr>
        <w:fldChar w:fldCharType="end"/>
      </w:r>
      <w:r w:rsidRPr="008F4B40">
        <w:rPr>
          <w:rFonts w:ascii="Palatino Linotype" w:hAnsi="Palatino Linotype" w:cs="Times New Roman"/>
          <w:b w:val="0"/>
          <w:color w:val="auto"/>
          <w:sz w:val="20"/>
          <w:szCs w:val="20"/>
        </w:rPr>
        <w:t xml:space="preserve"> – </w:t>
      </w:r>
      <w:r w:rsidRPr="008F4B40">
        <w:rPr>
          <w:rFonts w:ascii="Palatino Linotype" w:hAnsi="Palatino Linotype" w:cs="Times New Roman"/>
          <w:b w:val="0"/>
          <w:color w:val="auto"/>
          <w:sz w:val="20"/>
          <w:szCs w:val="20"/>
          <w:shd w:val="clear" w:color="auto" w:fill="FFFFFF"/>
        </w:rPr>
        <w:t>The original and smoothed PHB concentration profiles (top-left), PHB production rate profiles (top-right), the original and smoothed TDW profiles (bottom-left) and TDW production rate profiles (bottom-right). (Bioreactor batch experiment; initial glycerol concentration: 60 g/l; done in duplicate).</w:t>
      </w:r>
      <w:bookmarkEnd w:id="63"/>
      <w:r w:rsidRPr="008F4B40">
        <w:rPr>
          <w:rFonts w:ascii="Palatino Linotype" w:hAnsi="Palatino Linotype" w:cs="Times New Roman"/>
          <w:b w:val="0"/>
          <w:color w:val="auto"/>
          <w:sz w:val="20"/>
          <w:szCs w:val="20"/>
          <w:shd w:val="clear" w:color="auto" w:fill="FFFFFF"/>
        </w:rPr>
        <w:t xml:space="preserve"> </w:t>
      </w:r>
    </w:p>
    <w:p w:rsidR="008802B1" w:rsidRPr="008F4B40" w:rsidRDefault="008802B1" w:rsidP="00F315E9">
      <w:pPr>
        <w:pStyle w:val="3"/>
        <w:numPr>
          <w:ilvl w:val="1"/>
          <w:numId w:val="33"/>
        </w:numPr>
        <w:spacing w:before="0"/>
        <w:rPr>
          <w:rFonts w:ascii="Palatino Linotype" w:hAnsi="Palatino Linotype" w:cs="Times New Roman"/>
          <w:color w:val="auto"/>
          <w:sz w:val="20"/>
          <w:szCs w:val="20"/>
        </w:rPr>
      </w:pPr>
      <w:bookmarkStart w:id="64" w:name="_Toc500722094"/>
      <w:bookmarkStart w:id="65" w:name="_Toc38967971"/>
      <w:r w:rsidRPr="008F4B40">
        <w:rPr>
          <w:rFonts w:ascii="Palatino Linotype" w:hAnsi="Palatino Linotype" w:cs="Times New Roman"/>
          <w:color w:val="auto"/>
          <w:sz w:val="20"/>
          <w:szCs w:val="20"/>
        </w:rPr>
        <w:lastRenderedPageBreak/>
        <w:t>Balancing the equation of biomass synthesis</w:t>
      </w:r>
      <w:bookmarkEnd w:id="64"/>
      <w:bookmarkEnd w:id="65"/>
    </w:p>
    <w:p w:rsidR="008802B1" w:rsidRPr="008F4B40" w:rsidRDefault="008802B1" w:rsidP="008802B1">
      <w:pPr>
        <w:pStyle w:val="a7"/>
        <w:spacing w:line="360" w:lineRule="auto"/>
        <w:jc w:val="both"/>
        <w:rPr>
          <w:rFonts w:ascii="Palatino Linotype" w:hAnsi="Palatino Linotype" w:cs="Times New Roman"/>
          <w:i/>
          <w:noProof/>
          <w:sz w:val="20"/>
          <w:szCs w:val="20"/>
        </w:rPr>
      </w:pPr>
      <w:r w:rsidRPr="008F4B40">
        <w:rPr>
          <w:rFonts w:ascii="Palatino Linotype" w:hAnsi="Palatino Linotype" w:cs="Times New Roman"/>
          <w:noProof/>
          <w:sz w:val="20"/>
          <w:szCs w:val="20"/>
        </w:rPr>
        <w:t xml:space="preserve">The total dried weight (TDW) of C. necator cells is comprised of two parts: PHB and active biomass (i.e. non-PHB biomass). Active biomass has specific macromolecular compositions in terms of protein, carbohydrates, lipid, RNA and DNA. In order to to estimate the flux distribution associated with biomass production, an artifical metabolic reaction of biomass synthesis is included in the metabolic network. The stoichiometic coefficients of the reaction are thus the relative proprtions of the precursors forming the macromolecules, when an average cell composition is assumed. In this work, a generic biomass </w:t>
      </w:r>
      <w:r w:rsidR="000C1C45" w:rsidRPr="008F4B40">
        <w:rPr>
          <w:rFonts w:ascii="Palatino Linotype" w:hAnsi="Palatino Linotype" w:cs="Times New Roman"/>
          <w:noProof/>
          <w:sz w:val="20"/>
          <w:szCs w:val="20"/>
        </w:rPr>
        <w:t>f</w:t>
      </w:r>
      <w:r w:rsidR="00AC7961" w:rsidRPr="008F4B40">
        <w:rPr>
          <w:rFonts w:ascii="Palatino Linotype" w:hAnsi="Palatino Linotype" w:cs="Times New Roman"/>
          <w:noProof/>
          <w:sz w:val="20"/>
          <w:szCs w:val="20"/>
        </w:rPr>
        <w:t xml:space="preserve">ormation was used as a template </w:t>
      </w:r>
      <w:r w:rsidR="00AC7961" w:rsidRPr="008F4B40">
        <w:rPr>
          <w:rFonts w:ascii="Palatino Linotype" w:hAnsi="Palatino Linotype" w:cs="Times New Roman"/>
          <w:noProof/>
          <w:sz w:val="20"/>
          <w:szCs w:val="20"/>
        </w:rPr>
        <w:fldChar w:fldCharType="begin" w:fldLock="1"/>
      </w:r>
      <w:r w:rsidR="00E3332A" w:rsidRPr="008F4B40">
        <w:rPr>
          <w:rFonts w:ascii="Palatino Linotype" w:hAnsi="Palatino Linotype" w:cs="Times New Roman"/>
          <w:noProof/>
          <w:sz w:val="20"/>
          <w:szCs w:val="20"/>
        </w:rPr>
        <w:instrText>ADDIN CSL_CITATION {"citationItems":[{"id":"ITEM-1","itemData":{"DOI":"10.1007/s10295-014-1439-y","ISSN":"1476-5535","PMID":"24715530","author":[{"dropping-particle":"","family":"Lopar","given":"Markan","non-dropping-particle":"","parse-names":false,"suffix":""},{"dropping-particle":"","family":"Spoljarić","given":"Ivna Vrana","non-dropping-particle":"","parse-names":false,"suffix":""},{"dropping-particle":"","family":"Cepanec","given":"Nikolina","non-dropping-particle":"","parse-names":false,"suffix":""},{"dropping-particle":"","family":"Koller","given":"Martin","non-dropping-particle":"","parse-names":false,"suffix":""},{"dropping-particle":"","family":"Braunegg","given":"Gerhart","non-dropping-particle":"","parse-names":false,"suffix":""},{"dropping-particle":"","family":"Horvat","given":"Predrag","non-dropping-particle":"","parse-names":false,"suffix":""}],"container-title":"J Ind Microbiol Biotechnol","id":"ITEM-1","issued":{"date-parts":[["2014","4","9"]]},"title":"Study of metabolic network of Cupriavidus necator DSM 545 growing on glycerol by applying elementary flux modes and yield space analysis.","type":"article-journal"},"uris":["http://www.mendeley.com/documents/?uuid=b0468f71-4767-4e7f-a559-06397386b072"]}],"mendeley":{"formattedCitation":"[11]","plainTextFormattedCitation":"[11]","previouslyFormattedCitation":"[11]"},"properties":{"noteIndex":0},"schema":"https://github.com/citation-style-language/schema/raw/master/csl-citation.json"}</w:instrText>
      </w:r>
      <w:r w:rsidR="00AC7961" w:rsidRPr="008F4B40">
        <w:rPr>
          <w:rFonts w:ascii="Palatino Linotype" w:hAnsi="Palatino Linotype" w:cs="Times New Roman"/>
          <w:noProof/>
          <w:sz w:val="20"/>
          <w:szCs w:val="20"/>
        </w:rPr>
        <w:fldChar w:fldCharType="separate"/>
      </w:r>
      <w:r w:rsidR="00AC7961" w:rsidRPr="008F4B40">
        <w:rPr>
          <w:rFonts w:ascii="Palatino Linotype" w:hAnsi="Palatino Linotype" w:cs="Times New Roman"/>
          <w:noProof/>
          <w:sz w:val="20"/>
          <w:szCs w:val="20"/>
        </w:rPr>
        <w:t>[1</w:t>
      </w:r>
      <w:bookmarkStart w:id="66" w:name="_GoBack"/>
      <w:bookmarkEnd w:id="66"/>
      <w:r w:rsidR="00AC7961" w:rsidRPr="008F4B40">
        <w:rPr>
          <w:rFonts w:ascii="Palatino Linotype" w:hAnsi="Palatino Linotype" w:cs="Times New Roman"/>
          <w:noProof/>
          <w:sz w:val="20"/>
          <w:szCs w:val="20"/>
        </w:rPr>
        <w:t>1]</w:t>
      </w:r>
      <w:r w:rsidR="00AC7961" w:rsidRPr="008F4B40">
        <w:rPr>
          <w:rFonts w:ascii="Palatino Linotype" w:hAnsi="Palatino Linotype" w:cs="Times New Roman"/>
          <w:noProof/>
          <w:sz w:val="20"/>
          <w:szCs w:val="20"/>
        </w:rPr>
        <w:fldChar w:fldCharType="end"/>
      </w:r>
      <w:r w:rsidRPr="008F4B40">
        <w:rPr>
          <w:rFonts w:ascii="Palatino Linotype" w:hAnsi="Palatino Linotype" w:cs="Times New Roman"/>
          <w:noProof/>
          <w:sz w:val="20"/>
          <w:szCs w:val="20"/>
        </w:rPr>
        <w:t xml:space="preserve">: </w:t>
      </w:r>
    </w:p>
    <w:tbl>
      <w:tblPr>
        <w:tblW w:w="5000" w:type="pct"/>
        <w:tblLook w:val="04A0" w:firstRow="1" w:lastRow="0" w:firstColumn="1" w:lastColumn="0" w:noHBand="0" w:noVBand="1"/>
      </w:tblPr>
      <w:tblGrid>
        <w:gridCol w:w="8330"/>
        <w:gridCol w:w="1632"/>
      </w:tblGrid>
      <w:tr w:rsidR="008802B1" w:rsidRPr="008F4B40" w:rsidTr="008802B1">
        <w:tc>
          <w:tcPr>
            <w:tcW w:w="4181" w:type="pct"/>
            <w:vAlign w:val="center"/>
          </w:tcPr>
          <w:p w:rsidR="008802B1" w:rsidRPr="008F4B40" w:rsidRDefault="008802B1" w:rsidP="008802B1">
            <w:pPr>
              <w:pStyle w:val="a7"/>
              <w:spacing w:line="360" w:lineRule="auto"/>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 xml:space="preserve">0.021 G6P + 0.09 R5P + 0.036 E4P + 0.007 F6P + 0.013 G3P + 0.15 3PG + 0.052 PEP + 0.283 PYR + 0.179 OXA + 0.826 GLUT + 0.025 GLUM + 0.374 AcCoA + 4.11 ATP + 0.312 NAD+ + 0.826 NADPH </w:t>
            </w:r>
            <w:r w:rsidRPr="008F4B40">
              <w:rPr>
                <w:rFonts w:ascii="宋体" w:eastAsia="宋体" w:hAnsi="宋体" w:cs="宋体" w:hint="eastAsia"/>
                <w:noProof/>
                <w:sz w:val="20"/>
                <w:szCs w:val="20"/>
              </w:rPr>
              <w:t>→</w:t>
            </w:r>
            <w:r w:rsidRPr="008F4B40">
              <w:rPr>
                <w:rFonts w:ascii="Palatino Linotype" w:hAnsi="Palatino Linotype" w:cs="Times New Roman"/>
                <w:noProof/>
                <w:sz w:val="20"/>
                <w:szCs w:val="20"/>
              </w:rPr>
              <w:t xml:space="preserve"> Biomass + 0.751 </w:t>
            </w:r>
            <w:r w:rsidRPr="008F4B40">
              <w:rPr>
                <w:rFonts w:ascii="Palatino Linotype" w:hAnsi="Palatino Linotype" w:cs="Palatino Linotype"/>
                <w:noProof/>
                <w:sz w:val="20"/>
                <w:szCs w:val="20"/>
              </w:rPr>
              <w:t>α</w:t>
            </w:r>
            <w:r w:rsidRPr="008F4B40">
              <w:rPr>
                <w:rFonts w:ascii="Palatino Linotype" w:hAnsi="Palatino Linotype" w:cs="Times New Roman"/>
                <w:noProof/>
                <w:sz w:val="20"/>
                <w:szCs w:val="20"/>
              </w:rPr>
              <w:t>KG + 0.374 CoA + 4.11 ADP + 0.312 NADH + 0.826 NADP + 0.261 CO</w:t>
            </w:r>
            <w:r w:rsidRPr="008F4B40">
              <w:rPr>
                <w:rFonts w:ascii="Palatino Linotype" w:hAnsi="Palatino Linotype" w:cs="Times New Roman"/>
                <w:noProof/>
                <w:sz w:val="20"/>
                <w:szCs w:val="20"/>
                <w:vertAlign w:val="subscript"/>
              </w:rPr>
              <w:t>2</w:t>
            </w:r>
          </w:p>
        </w:tc>
        <w:tc>
          <w:tcPr>
            <w:tcW w:w="819" w:type="pct"/>
            <w:vAlign w:val="center"/>
          </w:tcPr>
          <w:p w:rsidR="008802B1" w:rsidRPr="008F4B40" w:rsidRDefault="00AC7961" w:rsidP="008802B1">
            <w:pPr>
              <w:spacing w:after="0" w:line="360" w:lineRule="auto"/>
              <w:jc w:val="center"/>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17</w:t>
            </w:r>
          </w:p>
        </w:tc>
      </w:tr>
    </w:tbl>
    <w:p w:rsidR="008802B1" w:rsidRPr="008F4B40" w:rsidRDefault="008802B1" w:rsidP="008802B1">
      <w:pPr>
        <w:pStyle w:val="a7"/>
        <w:spacing w:line="360" w:lineRule="auto"/>
        <w:jc w:val="both"/>
        <w:rPr>
          <w:rFonts w:ascii="Palatino Linotype" w:hAnsi="Palatino Linotype" w:cs="Times New Roman"/>
          <w:i/>
          <w:noProof/>
          <w:sz w:val="20"/>
          <w:szCs w:val="20"/>
        </w:rPr>
      </w:pPr>
      <w:r w:rsidRPr="008F4B40">
        <w:rPr>
          <w:rFonts w:ascii="Palatino Linotype" w:hAnsi="Palatino Linotype" w:cs="Times New Roman"/>
          <w:noProof/>
          <w:sz w:val="20"/>
          <w:szCs w:val="20"/>
        </w:rPr>
        <w:t>However, this equation underestimates the nitrogen content in the cells in our case. Active biomass produced using this equation has a maximum nitrogen content of 9.35% w/w, lower than the measur</w:t>
      </w:r>
      <w:r w:rsidR="00AC7961" w:rsidRPr="008F4B40">
        <w:rPr>
          <w:rFonts w:ascii="Palatino Linotype" w:hAnsi="Palatino Linotype" w:cs="Times New Roman"/>
          <w:noProof/>
          <w:sz w:val="20"/>
          <w:szCs w:val="20"/>
        </w:rPr>
        <w:t xml:space="preserve">ed value (13.7 % w/w) (Figure </w:t>
      </w:r>
      <w:r w:rsidR="00437BC5" w:rsidRPr="008F4B40">
        <w:rPr>
          <w:rFonts w:ascii="Palatino Linotype" w:hAnsi="Palatino Linotype" w:cs="Times New Roman"/>
          <w:noProof/>
          <w:sz w:val="20"/>
          <w:szCs w:val="20"/>
        </w:rPr>
        <w:t>8</w:t>
      </w:r>
      <w:r w:rsidRPr="008F4B40">
        <w:rPr>
          <w:rFonts w:ascii="Palatino Linotype" w:hAnsi="Palatino Linotype" w:cs="Times New Roman"/>
          <w:noProof/>
          <w:sz w:val="20"/>
          <w:szCs w:val="20"/>
        </w:rPr>
        <w:t xml:space="preserve">). </w:t>
      </w:r>
    </w:p>
    <w:p w:rsidR="008802B1" w:rsidRPr="008F4B40" w:rsidRDefault="008802B1" w:rsidP="008802B1">
      <w:pPr>
        <w:pStyle w:val="a7"/>
        <w:keepNext/>
        <w:jc w:val="center"/>
        <w:rPr>
          <w:rFonts w:ascii="Palatino Linotype" w:hAnsi="Palatino Linotype" w:cs="Times New Roman"/>
          <w:sz w:val="20"/>
          <w:szCs w:val="20"/>
        </w:rPr>
      </w:pPr>
      <w:r w:rsidRPr="008F4B40">
        <w:rPr>
          <w:rFonts w:ascii="Palatino Linotype" w:hAnsi="Palatino Linotype" w:cs="Times New Roman"/>
          <w:noProof/>
          <w:sz w:val="20"/>
          <w:szCs w:val="20"/>
        </w:rPr>
        <w:drawing>
          <wp:inline distT="0" distB="0" distL="0" distR="0" wp14:anchorId="49A6343B" wp14:editId="082EA22A">
            <wp:extent cx="5486400" cy="2813538"/>
            <wp:effectExtent l="0" t="0" r="19050" b="2540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802B1" w:rsidRPr="008F4B40" w:rsidRDefault="008802B1" w:rsidP="008802B1">
      <w:pPr>
        <w:pStyle w:val="af"/>
        <w:spacing w:after="0"/>
        <w:jc w:val="center"/>
        <w:rPr>
          <w:rFonts w:ascii="Palatino Linotype" w:hAnsi="Palatino Linotype" w:cs="Times New Roman"/>
          <w:b w:val="0"/>
          <w:i/>
          <w:noProof/>
          <w:color w:val="auto"/>
          <w:sz w:val="20"/>
          <w:szCs w:val="20"/>
        </w:rPr>
      </w:pPr>
      <w:bookmarkStart w:id="67" w:name="_Toc500722202"/>
      <w:r w:rsidRPr="008F4B40">
        <w:rPr>
          <w:rFonts w:ascii="Palatino Linotype" w:hAnsi="Palatino Linotype" w:cs="Times New Roman"/>
          <w:b w:val="0"/>
          <w:color w:val="auto"/>
          <w:sz w:val="20"/>
          <w:szCs w:val="20"/>
        </w:rPr>
        <w:t xml:space="preserve">Figure </w:t>
      </w:r>
      <w:r w:rsidRPr="008F4B40">
        <w:rPr>
          <w:rFonts w:ascii="Palatino Linotype" w:hAnsi="Palatino Linotype" w:cs="Times New Roman"/>
          <w:b w:val="0"/>
          <w:i/>
          <w:color w:val="auto"/>
          <w:sz w:val="20"/>
          <w:szCs w:val="20"/>
        </w:rPr>
        <w:fldChar w:fldCharType="begin"/>
      </w:r>
      <w:r w:rsidRPr="008F4B40">
        <w:rPr>
          <w:rFonts w:ascii="Palatino Linotype" w:hAnsi="Palatino Linotype" w:cs="Times New Roman"/>
          <w:b w:val="0"/>
          <w:color w:val="auto"/>
          <w:sz w:val="20"/>
          <w:szCs w:val="20"/>
        </w:rPr>
        <w:instrText xml:space="preserve"> SEQ Figure \* ARABIC \s 1 </w:instrText>
      </w:r>
      <w:r w:rsidRPr="008F4B40">
        <w:rPr>
          <w:rFonts w:ascii="Palatino Linotype" w:hAnsi="Palatino Linotype" w:cs="Times New Roman"/>
          <w:b w:val="0"/>
          <w:i/>
          <w:color w:val="auto"/>
          <w:sz w:val="20"/>
          <w:szCs w:val="20"/>
        </w:rPr>
        <w:fldChar w:fldCharType="separate"/>
      </w:r>
      <w:r w:rsidR="00437BC5" w:rsidRPr="008F4B40">
        <w:rPr>
          <w:rFonts w:ascii="Palatino Linotype" w:hAnsi="Palatino Linotype" w:cs="Times New Roman"/>
          <w:b w:val="0"/>
          <w:noProof/>
          <w:color w:val="auto"/>
          <w:sz w:val="20"/>
          <w:szCs w:val="20"/>
        </w:rPr>
        <w:t>8</w:t>
      </w:r>
      <w:r w:rsidRPr="008F4B40">
        <w:rPr>
          <w:rFonts w:ascii="Palatino Linotype" w:hAnsi="Palatino Linotype" w:cs="Times New Roman"/>
          <w:b w:val="0"/>
          <w:i/>
          <w:color w:val="auto"/>
          <w:sz w:val="20"/>
          <w:szCs w:val="20"/>
        </w:rPr>
        <w:fldChar w:fldCharType="end"/>
      </w:r>
      <w:r w:rsidRPr="008F4B40">
        <w:rPr>
          <w:rFonts w:ascii="Palatino Linotype" w:hAnsi="Palatino Linotype" w:cs="Times New Roman"/>
          <w:b w:val="0"/>
          <w:color w:val="auto"/>
          <w:sz w:val="20"/>
          <w:szCs w:val="20"/>
        </w:rPr>
        <w:t xml:space="preserve"> – </w:t>
      </w:r>
      <w:r w:rsidRPr="008F4B40">
        <w:rPr>
          <w:rFonts w:ascii="Palatino Linotype" w:hAnsi="Palatino Linotype" w:cs="Times New Roman"/>
          <w:b w:val="0"/>
          <w:noProof/>
          <w:color w:val="auto"/>
          <w:sz w:val="20"/>
          <w:szCs w:val="20"/>
        </w:rPr>
        <w:t>the nitrogen content in the biomass over time. An average nitrogen content of 13.7 % w/w (shown as the solid horizontal line) was assumed.</w:t>
      </w:r>
      <w:bookmarkEnd w:id="67"/>
      <w:r w:rsidRPr="008F4B40">
        <w:rPr>
          <w:rFonts w:ascii="Palatino Linotype" w:hAnsi="Palatino Linotype" w:cs="Times New Roman"/>
          <w:b w:val="0"/>
          <w:noProof/>
          <w:color w:val="auto"/>
          <w:sz w:val="20"/>
          <w:szCs w:val="20"/>
        </w:rPr>
        <w:t xml:space="preserve"> </w:t>
      </w:r>
    </w:p>
    <w:p w:rsidR="008802B1" w:rsidRPr="008F4B40" w:rsidRDefault="008802B1" w:rsidP="008802B1">
      <w:pPr>
        <w:pStyle w:val="a7"/>
        <w:spacing w:line="360" w:lineRule="auto"/>
        <w:jc w:val="both"/>
        <w:rPr>
          <w:rFonts w:ascii="Palatino Linotype" w:hAnsi="Palatino Linotype" w:cs="Times New Roman"/>
          <w:i/>
          <w:noProof/>
          <w:sz w:val="20"/>
          <w:szCs w:val="20"/>
        </w:rPr>
      </w:pPr>
      <w:r w:rsidRPr="008F4B40">
        <w:rPr>
          <w:rFonts w:ascii="Palatino Linotype" w:hAnsi="Palatino Linotype" w:cs="Times New Roman"/>
          <w:noProof/>
          <w:sz w:val="20"/>
          <w:szCs w:val="20"/>
        </w:rPr>
        <w:t>Therefore the stoichiometric coefficients of GLU, GLN and AKG were multiplied by 1.56 to satisfy the nitrogen balance. The adjusted coefficients along with the biomass molecul</w:t>
      </w:r>
      <w:r w:rsidR="00AC7961" w:rsidRPr="008F4B40">
        <w:rPr>
          <w:rFonts w:ascii="Palatino Linotype" w:hAnsi="Palatino Linotype" w:cs="Times New Roman"/>
          <w:noProof/>
          <w:sz w:val="20"/>
          <w:szCs w:val="20"/>
        </w:rPr>
        <w:t>ar formula are shown in Table 2</w:t>
      </w:r>
      <w:r w:rsidRPr="008F4B40">
        <w:rPr>
          <w:rFonts w:ascii="Palatino Linotype" w:hAnsi="Palatino Linotype" w:cs="Times New Roman"/>
          <w:noProof/>
          <w:sz w:val="20"/>
          <w:szCs w:val="20"/>
        </w:rPr>
        <w:t xml:space="preserve">. </w:t>
      </w:r>
      <w:bookmarkStart w:id="68" w:name="OLE_LINK330"/>
      <w:bookmarkStart w:id="69" w:name="OLE_LINK343"/>
      <w:r w:rsidRPr="008F4B40">
        <w:rPr>
          <w:rFonts w:ascii="Palatino Linotype" w:hAnsi="Palatino Linotype" w:cs="Times New Roman"/>
          <w:noProof/>
          <w:sz w:val="20"/>
          <w:szCs w:val="20"/>
        </w:rPr>
        <w:t xml:space="preserve">It </w:t>
      </w:r>
      <w:r w:rsidRPr="008F4B40">
        <w:rPr>
          <w:rFonts w:ascii="Palatino Linotype" w:hAnsi="Palatino Linotype" w:cs="Times New Roman"/>
          <w:noProof/>
          <w:sz w:val="20"/>
          <w:szCs w:val="20"/>
        </w:rPr>
        <w:lastRenderedPageBreak/>
        <w:t xml:space="preserve">should </w:t>
      </w:r>
      <w:bookmarkEnd w:id="68"/>
      <w:bookmarkEnd w:id="69"/>
      <w:r w:rsidRPr="008F4B40">
        <w:rPr>
          <w:rFonts w:ascii="Palatino Linotype" w:hAnsi="Palatino Linotype" w:cs="Times New Roman"/>
          <w:noProof/>
          <w:sz w:val="20"/>
          <w:szCs w:val="20"/>
        </w:rPr>
        <w:t>be noted though, that, phosphorus, although appearing as a constituent element, was not considered in material balance (as phosphorus does not have a corresponding term in the stoichiometric matrix).</w:t>
      </w:r>
    </w:p>
    <w:tbl>
      <w:tblPr>
        <w:tblW w:w="0" w:type="auto"/>
        <w:jc w:val="center"/>
        <w:tblLook w:val="04A0" w:firstRow="1" w:lastRow="0" w:firstColumn="1" w:lastColumn="0" w:noHBand="0" w:noVBand="1"/>
      </w:tblPr>
      <w:tblGrid>
        <w:gridCol w:w="1030"/>
        <w:gridCol w:w="666"/>
        <w:gridCol w:w="666"/>
        <w:gridCol w:w="666"/>
        <w:gridCol w:w="998"/>
        <w:gridCol w:w="2140"/>
        <w:gridCol w:w="2268"/>
      </w:tblGrid>
      <w:tr w:rsidR="008802B1" w:rsidRPr="008F4B40" w:rsidTr="008802B1">
        <w:trPr>
          <w:jc w:val="center"/>
        </w:trPr>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S</w:t>
            </w:r>
            <w:r w:rsidRPr="008F4B40">
              <w:rPr>
                <w:rFonts w:ascii="Palatino Linotype" w:hAnsi="Palatino Linotype" w:cs="Times New Roman"/>
                <w:noProof/>
                <w:sz w:val="20"/>
                <w:szCs w:val="20"/>
                <w:vertAlign w:val="subscript"/>
              </w:rPr>
              <w:t>GLU</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S</w:t>
            </w:r>
            <w:r w:rsidRPr="008F4B40">
              <w:rPr>
                <w:rFonts w:ascii="Palatino Linotype" w:hAnsi="Palatino Linotype" w:cs="Times New Roman"/>
                <w:noProof/>
                <w:sz w:val="20"/>
                <w:szCs w:val="20"/>
                <w:vertAlign w:val="subscript"/>
              </w:rPr>
              <w:t>GLN</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S</w:t>
            </w:r>
            <w:r w:rsidRPr="008F4B40">
              <w:rPr>
                <w:rFonts w:ascii="Palatino Linotype" w:hAnsi="Palatino Linotype" w:cs="Times New Roman"/>
                <w:noProof/>
                <w:sz w:val="20"/>
                <w:szCs w:val="20"/>
                <w:vertAlign w:val="subscript"/>
              </w:rPr>
              <w:t>AKG</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N% w/w</w:t>
            </w:r>
          </w:p>
        </w:tc>
        <w:tc>
          <w:tcPr>
            <w:tcW w:w="2140" w:type="dxa"/>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Biomass molecular formula</w:t>
            </w:r>
          </w:p>
        </w:tc>
        <w:tc>
          <w:tcPr>
            <w:tcW w:w="2268" w:type="dxa"/>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Biomass molar mass (g/mol)</w:t>
            </w:r>
          </w:p>
        </w:tc>
      </w:tr>
      <w:tr w:rsidR="008802B1" w:rsidRPr="008F4B40" w:rsidTr="008802B1">
        <w:trPr>
          <w:jc w:val="center"/>
        </w:trPr>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Original</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0.826</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0.025</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0.751</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9.35</w:t>
            </w:r>
          </w:p>
        </w:tc>
        <w:tc>
          <w:tcPr>
            <w:tcW w:w="2140" w:type="dxa"/>
            <w:vAlign w:val="center"/>
          </w:tcPr>
          <w:p w:rsidR="008802B1" w:rsidRPr="008F4B40" w:rsidRDefault="008802B1" w:rsidP="008802B1">
            <w:pPr>
              <w:spacing w:after="0"/>
              <w:jc w:val="center"/>
              <w:rPr>
                <w:rFonts w:ascii="Palatino Linotype" w:hAnsi="Palatino Linotype" w:cs="Times New Roman"/>
                <w:i/>
                <w:sz w:val="20"/>
                <w:szCs w:val="20"/>
              </w:rPr>
            </w:pPr>
            <w:r w:rsidRPr="008F4B40">
              <w:rPr>
                <w:rFonts w:ascii="Palatino Linotype" w:hAnsi="Palatino Linotype" w:cs="Times New Roman"/>
                <w:sz w:val="20"/>
                <w:szCs w:val="20"/>
              </w:rPr>
              <w:t>CH</w:t>
            </w:r>
            <w:r w:rsidRPr="008F4B40">
              <w:rPr>
                <w:rFonts w:ascii="Palatino Linotype" w:hAnsi="Palatino Linotype" w:cs="Times New Roman"/>
                <w:sz w:val="20"/>
                <w:szCs w:val="20"/>
                <w:vertAlign w:val="subscript"/>
              </w:rPr>
              <w:t>2.33</w:t>
            </w:r>
            <w:r w:rsidRPr="008F4B40">
              <w:rPr>
                <w:rFonts w:ascii="Palatino Linotype" w:hAnsi="Palatino Linotype" w:cs="Times New Roman"/>
                <w:sz w:val="20"/>
                <w:szCs w:val="20"/>
              </w:rPr>
              <w:t>O</w:t>
            </w:r>
            <w:r w:rsidRPr="008F4B40">
              <w:rPr>
                <w:rFonts w:ascii="Palatino Linotype" w:hAnsi="Palatino Linotype" w:cs="Times New Roman"/>
                <w:sz w:val="20"/>
                <w:szCs w:val="20"/>
                <w:vertAlign w:val="subscript"/>
              </w:rPr>
              <w:t>0.98</w:t>
            </w:r>
            <w:r w:rsidRPr="008F4B40">
              <w:rPr>
                <w:rFonts w:ascii="Palatino Linotype" w:hAnsi="Palatino Linotype" w:cs="Times New Roman"/>
                <w:sz w:val="20"/>
                <w:szCs w:val="20"/>
              </w:rPr>
              <w:t>N</w:t>
            </w:r>
            <w:r w:rsidRPr="008F4B40">
              <w:rPr>
                <w:rFonts w:ascii="Palatino Linotype" w:hAnsi="Palatino Linotype" w:cs="Times New Roman"/>
                <w:sz w:val="20"/>
                <w:szCs w:val="20"/>
                <w:vertAlign w:val="subscript"/>
              </w:rPr>
              <w:t>0.22</w:t>
            </w:r>
            <w:r w:rsidRPr="008F4B40">
              <w:rPr>
                <w:rFonts w:ascii="Palatino Linotype" w:hAnsi="Palatino Linotype" w:cs="Times New Roman"/>
                <w:sz w:val="20"/>
                <w:szCs w:val="20"/>
              </w:rPr>
              <w:t>P</w:t>
            </w:r>
            <w:r w:rsidRPr="008F4B40">
              <w:rPr>
                <w:rFonts w:ascii="Palatino Linotype" w:hAnsi="Palatino Linotype" w:cs="Times New Roman"/>
                <w:sz w:val="20"/>
                <w:szCs w:val="20"/>
                <w:vertAlign w:val="subscript"/>
              </w:rPr>
              <w:t>0.092</w:t>
            </w:r>
          </w:p>
        </w:tc>
        <w:tc>
          <w:tcPr>
            <w:tcW w:w="2268" w:type="dxa"/>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33.10</w:t>
            </w:r>
          </w:p>
        </w:tc>
      </w:tr>
      <w:tr w:rsidR="008802B1" w:rsidRPr="008F4B40" w:rsidTr="008802B1">
        <w:trPr>
          <w:jc w:val="center"/>
        </w:trPr>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Adjusted</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1.298</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0.039</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1.172</w:t>
            </w:r>
          </w:p>
        </w:tc>
        <w:tc>
          <w:tcPr>
            <w:tcW w:w="0" w:type="auto"/>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13.7</w:t>
            </w:r>
          </w:p>
        </w:tc>
        <w:tc>
          <w:tcPr>
            <w:tcW w:w="2140" w:type="dxa"/>
            <w:vAlign w:val="center"/>
          </w:tcPr>
          <w:p w:rsidR="008802B1" w:rsidRPr="008F4B40" w:rsidRDefault="008802B1" w:rsidP="008802B1">
            <w:pPr>
              <w:pStyle w:val="a7"/>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CH</w:t>
            </w:r>
            <w:r w:rsidRPr="008F4B40">
              <w:rPr>
                <w:rFonts w:ascii="Palatino Linotype" w:hAnsi="Palatino Linotype" w:cs="Times New Roman"/>
                <w:noProof/>
                <w:sz w:val="20"/>
                <w:szCs w:val="20"/>
                <w:vertAlign w:val="subscript"/>
              </w:rPr>
              <w:t>2.59</w:t>
            </w:r>
            <w:r w:rsidRPr="008F4B40">
              <w:rPr>
                <w:rFonts w:ascii="Palatino Linotype" w:hAnsi="Palatino Linotype" w:cs="Times New Roman"/>
                <w:noProof/>
                <w:sz w:val="20"/>
                <w:szCs w:val="20"/>
              </w:rPr>
              <w:t>O</w:t>
            </w:r>
            <w:r w:rsidRPr="008F4B40">
              <w:rPr>
                <w:rFonts w:ascii="Palatino Linotype" w:hAnsi="Palatino Linotype" w:cs="Times New Roman"/>
                <w:noProof/>
                <w:sz w:val="20"/>
                <w:szCs w:val="20"/>
                <w:vertAlign w:val="subscript"/>
              </w:rPr>
              <w:t>0.87</w:t>
            </w:r>
            <w:r w:rsidRPr="008F4B40">
              <w:rPr>
                <w:rFonts w:ascii="Palatino Linotype" w:hAnsi="Palatino Linotype" w:cs="Times New Roman"/>
                <w:noProof/>
                <w:sz w:val="20"/>
                <w:szCs w:val="20"/>
              </w:rPr>
              <w:t>N</w:t>
            </w:r>
            <w:r w:rsidRPr="008F4B40">
              <w:rPr>
                <w:rFonts w:ascii="Palatino Linotype" w:hAnsi="Palatino Linotype" w:cs="Times New Roman"/>
                <w:noProof/>
                <w:sz w:val="20"/>
                <w:szCs w:val="20"/>
                <w:vertAlign w:val="subscript"/>
              </w:rPr>
              <w:t>0.32</w:t>
            </w:r>
            <w:r w:rsidRPr="008F4B40">
              <w:rPr>
                <w:rFonts w:ascii="Palatino Linotype" w:hAnsi="Palatino Linotype" w:cs="Times New Roman"/>
                <w:sz w:val="20"/>
                <w:szCs w:val="20"/>
              </w:rPr>
              <w:t xml:space="preserve"> P</w:t>
            </w:r>
            <w:r w:rsidRPr="008F4B40">
              <w:rPr>
                <w:rFonts w:ascii="Palatino Linotype" w:hAnsi="Palatino Linotype" w:cs="Times New Roman"/>
                <w:sz w:val="20"/>
                <w:szCs w:val="20"/>
                <w:vertAlign w:val="subscript"/>
              </w:rPr>
              <w:t>0.086</w:t>
            </w:r>
          </w:p>
        </w:tc>
        <w:tc>
          <w:tcPr>
            <w:tcW w:w="2268" w:type="dxa"/>
            <w:vAlign w:val="center"/>
          </w:tcPr>
          <w:p w:rsidR="008802B1" w:rsidRPr="008F4B40" w:rsidRDefault="008802B1" w:rsidP="008802B1">
            <w:pPr>
              <w:pStyle w:val="a7"/>
              <w:keepNext/>
              <w:jc w:val="center"/>
              <w:rPr>
                <w:rFonts w:ascii="Palatino Linotype" w:hAnsi="Palatino Linotype" w:cs="Times New Roman"/>
                <w:i/>
                <w:noProof/>
                <w:sz w:val="20"/>
                <w:szCs w:val="20"/>
              </w:rPr>
            </w:pPr>
            <w:r w:rsidRPr="008F4B40">
              <w:rPr>
                <w:rFonts w:ascii="Palatino Linotype" w:hAnsi="Palatino Linotype" w:cs="Times New Roman"/>
                <w:noProof/>
                <w:sz w:val="20"/>
                <w:szCs w:val="20"/>
              </w:rPr>
              <w:t>32.93</w:t>
            </w:r>
          </w:p>
        </w:tc>
      </w:tr>
    </w:tbl>
    <w:p w:rsidR="008802B1" w:rsidRPr="008F4B40" w:rsidRDefault="008802B1" w:rsidP="008802B1">
      <w:pPr>
        <w:pStyle w:val="af"/>
        <w:spacing w:after="0"/>
        <w:jc w:val="center"/>
        <w:rPr>
          <w:rFonts w:ascii="Palatino Linotype" w:hAnsi="Palatino Linotype" w:cs="Times New Roman"/>
          <w:b w:val="0"/>
          <w:i/>
          <w:color w:val="auto"/>
          <w:sz w:val="20"/>
          <w:szCs w:val="20"/>
        </w:rPr>
      </w:pPr>
      <w:bookmarkStart w:id="70" w:name="_Toc500722266"/>
      <w:r w:rsidRPr="008F4B40">
        <w:rPr>
          <w:rFonts w:ascii="Palatino Linotype" w:hAnsi="Palatino Linotype" w:cs="Times New Roman"/>
          <w:b w:val="0"/>
          <w:color w:val="auto"/>
          <w:sz w:val="20"/>
          <w:szCs w:val="20"/>
        </w:rPr>
        <w:t xml:space="preserve">Table </w:t>
      </w:r>
      <w:r w:rsidRPr="008F4B40">
        <w:rPr>
          <w:rFonts w:ascii="Palatino Linotype" w:hAnsi="Palatino Linotype" w:cs="Times New Roman"/>
          <w:b w:val="0"/>
          <w:i/>
          <w:color w:val="auto"/>
          <w:sz w:val="20"/>
          <w:szCs w:val="20"/>
        </w:rPr>
        <w:fldChar w:fldCharType="begin"/>
      </w:r>
      <w:r w:rsidRPr="008F4B40">
        <w:rPr>
          <w:rFonts w:ascii="Palatino Linotype" w:hAnsi="Palatino Linotype" w:cs="Times New Roman"/>
          <w:b w:val="0"/>
          <w:color w:val="auto"/>
          <w:sz w:val="20"/>
          <w:szCs w:val="20"/>
        </w:rPr>
        <w:instrText xml:space="preserve"> SEQ Table \* ARABIC \s 1 </w:instrText>
      </w:r>
      <w:r w:rsidRPr="008F4B40">
        <w:rPr>
          <w:rFonts w:ascii="Palatino Linotype" w:hAnsi="Palatino Linotype" w:cs="Times New Roman"/>
          <w:b w:val="0"/>
          <w:i/>
          <w:color w:val="auto"/>
          <w:sz w:val="20"/>
          <w:szCs w:val="20"/>
        </w:rPr>
        <w:fldChar w:fldCharType="separate"/>
      </w:r>
      <w:r w:rsidR="00AC7961" w:rsidRPr="008F4B40">
        <w:rPr>
          <w:rFonts w:ascii="Palatino Linotype" w:hAnsi="Palatino Linotype" w:cs="Times New Roman"/>
          <w:b w:val="0"/>
          <w:noProof/>
          <w:color w:val="auto"/>
          <w:sz w:val="20"/>
          <w:szCs w:val="20"/>
        </w:rPr>
        <w:t>2</w:t>
      </w:r>
      <w:r w:rsidRPr="008F4B40">
        <w:rPr>
          <w:rFonts w:ascii="Palatino Linotype" w:hAnsi="Palatino Linotype" w:cs="Times New Roman"/>
          <w:b w:val="0"/>
          <w:i/>
          <w:color w:val="auto"/>
          <w:sz w:val="20"/>
          <w:szCs w:val="20"/>
        </w:rPr>
        <w:fldChar w:fldCharType="end"/>
      </w:r>
      <w:r w:rsidRPr="008F4B40">
        <w:rPr>
          <w:rFonts w:ascii="Palatino Linotype" w:hAnsi="Palatino Linotype" w:cs="Times New Roman"/>
          <w:b w:val="0"/>
          <w:color w:val="auto"/>
          <w:sz w:val="20"/>
          <w:szCs w:val="20"/>
        </w:rPr>
        <w:t xml:space="preserve"> – </w:t>
      </w:r>
      <w:r w:rsidRPr="008F4B40">
        <w:rPr>
          <w:rFonts w:ascii="Palatino Linotype" w:hAnsi="Palatino Linotype" w:cs="Times New Roman"/>
          <w:b w:val="0"/>
          <w:noProof/>
          <w:color w:val="auto"/>
          <w:sz w:val="20"/>
          <w:szCs w:val="20"/>
        </w:rPr>
        <w:t>The stoichiometric coefficients of GLU, GLN and AKG in the artificial biomass production reaction, as well as the nitrogen content, empirical formula, and molar weight of the biomass before and after the adjustment.</w:t>
      </w:r>
      <w:bookmarkEnd w:id="70"/>
    </w:p>
    <w:p w:rsidR="008802B1" w:rsidRPr="008F4B40" w:rsidRDefault="008802B1" w:rsidP="00F315E9">
      <w:pPr>
        <w:pStyle w:val="3"/>
        <w:numPr>
          <w:ilvl w:val="1"/>
          <w:numId w:val="33"/>
        </w:numPr>
        <w:spacing w:before="0"/>
        <w:rPr>
          <w:rFonts w:ascii="Palatino Linotype" w:hAnsi="Palatino Linotype" w:cs="Times New Roman"/>
          <w:color w:val="auto"/>
          <w:sz w:val="20"/>
          <w:szCs w:val="20"/>
        </w:rPr>
      </w:pPr>
      <w:bookmarkStart w:id="71" w:name="_Toc500722095"/>
      <w:bookmarkStart w:id="72" w:name="_Toc38967972"/>
      <w:r w:rsidRPr="008F4B40">
        <w:rPr>
          <w:rFonts w:ascii="Palatino Linotype" w:hAnsi="Palatino Linotype" w:cs="Times New Roman"/>
          <w:color w:val="auto"/>
          <w:sz w:val="20"/>
          <w:szCs w:val="20"/>
        </w:rPr>
        <w:t>Closure of carbon balance</w:t>
      </w:r>
      <w:bookmarkEnd w:id="71"/>
      <w:bookmarkEnd w:id="72"/>
    </w:p>
    <w:p w:rsidR="008802B1" w:rsidRPr="008F4B40" w:rsidRDefault="008802B1" w:rsidP="008802B1">
      <w:pPr>
        <w:pStyle w:val="a7"/>
        <w:spacing w:line="360" w:lineRule="auto"/>
        <w:jc w:val="both"/>
        <w:rPr>
          <w:rFonts w:ascii="Palatino Linotype" w:hAnsi="Palatino Linotype" w:cs="Times New Roman"/>
          <w:i/>
          <w:sz w:val="20"/>
          <w:szCs w:val="20"/>
        </w:rPr>
      </w:pPr>
      <w:r w:rsidRPr="008F4B40">
        <w:rPr>
          <w:rFonts w:ascii="Palatino Linotype" w:hAnsi="Palatino Linotype" w:cs="Times New Roman"/>
          <w:noProof/>
          <w:sz w:val="20"/>
          <w:szCs w:val="20"/>
        </w:rPr>
        <w:t xml:space="preserve">The carbon balance for fermentation is closed </w:t>
      </w:r>
      <w:r w:rsidRPr="008F4B40">
        <w:rPr>
          <w:rFonts w:ascii="Palatino Linotype" w:hAnsi="Palatino Linotype" w:cs="Times New Roman"/>
          <w:sz w:val="20"/>
          <w:szCs w:val="20"/>
        </w:rPr>
        <w:t>by accounting for carbon in the form of substrates and products. Here, carbon in glycerol was distributed into products including biomass, PHB, malic acid and acetic acid. To close the carbon balance, the remaining carbon was assumed to be emitted as CO</w:t>
      </w:r>
      <w:r w:rsidRPr="008F4B40">
        <w:rPr>
          <w:rFonts w:ascii="Palatino Linotype" w:hAnsi="Palatino Linotype" w:cs="Times New Roman"/>
          <w:sz w:val="20"/>
          <w:szCs w:val="20"/>
          <w:vertAlign w:val="subscript"/>
        </w:rPr>
        <w:t>2</w:t>
      </w:r>
      <w:r w:rsidRPr="008F4B40">
        <w:rPr>
          <w:rFonts w:ascii="Palatino Linotype" w:hAnsi="Palatino Linotype" w:cs="Times New Roman"/>
          <w:sz w:val="20"/>
          <w:szCs w:val="20"/>
        </w:rPr>
        <w:t xml:space="preserve">. </w:t>
      </w:r>
      <w:r w:rsidRPr="008F4B40">
        <w:rPr>
          <w:rFonts w:ascii="Palatino Linotype" w:hAnsi="Palatino Linotype" w:cs="Times New Roman"/>
          <w:noProof/>
          <w:sz w:val="20"/>
          <w:szCs w:val="20"/>
        </w:rPr>
        <w:t>Therefore the cumulative production of CO</w:t>
      </w:r>
      <w:r w:rsidRPr="008F4B40">
        <w:rPr>
          <w:rFonts w:ascii="Palatino Linotype" w:hAnsi="Palatino Linotype" w:cs="Times New Roman"/>
          <w:noProof/>
          <w:sz w:val="20"/>
          <w:szCs w:val="20"/>
          <w:vertAlign w:val="subscript"/>
        </w:rPr>
        <w:t>2</w:t>
      </w:r>
      <w:r w:rsidRPr="008F4B40">
        <w:rPr>
          <w:rFonts w:ascii="Palatino Linotype" w:hAnsi="Palatino Linotype" w:cs="Times New Roman"/>
          <w:noProof/>
          <w:sz w:val="20"/>
          <w:szCs w:val="20"/>
        </w:rPr>
        <w:t xml:space="preserve"> can be calculated from the concentrations of other metabolites: </w:t>
      </w:r>
    </w:p>
    <w:tbl>
      <w:tblPr>
        <w:tblW w:w="5000" w:type="pct"/>
        <w:tblLook w:val="04A0" w:firstRow="1" w:lastRow="0" w:firstColumn="1" w:lastColumn="0" w:noHBand="0" w:noVBand="1"/>
      </w:tblPr>
      <w:tblGrid>
        <w:gridCol w:w="8330"/>
        <w:gridCol w:w="1632"/>
      </w:tblGrid>
      <w:tr w:rsidR="008802B1" w:rsidRPr="008F4B40" w:rsidTr="008802B1">
        <w:tc>
          <w:tcPr>
            <w:tcW w:w="4181" w:type="pct"/>
            <w:vAlign w:val="center"/>
          </w:tcPr>
          <w:p w:rsidR="008802B1" w:rsidRPr="008F4B40" w:rsidRDefault="0033302D" w:rsidP="008802B1">
            <w:pPr>
              <w:pStyle w:val="a7"/>
              <w:jc w:val="both"/>
              <w:rPr>
                <w:rFonts w:ascii="Palatino Linotype" w:hAnsi="Palatino Linotype" w:cs="Times New Roman"/>
                <w:i/>
                <w:noProof/>
                <w:sz w:val="20"/>
                <w:szCs w:val="20"/>
              </w:rPr>
            </w:pPr>
            <m:oMathPara>
              <m:oMath>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w:rPr>
                        <w:rFonts w:ascii="Cambria Math" w:hAnsi="Cambria Math" w:cs="Times New Roman"/>
                        <w:noProof/>
                        <w:sz w:val="20"/>
                        <w:szCs w:val="20"/>
                      </w:rPr>
                      <m:t>CO2</m:t>
                    </m:r>
                  </m:sub>
                </m:sSub>
                <m:r>
                  <w:rPr>
                    <w:rFonts w:ascii="Cambria Math" w:hAnsi="Cambria Math" w:cs="Times New Roman"/>
                    <w:noProof/>
                    <w:sz w:val="20"/>
                    <w:szCs w:val="20"/>
                  </w:rPr>
                  <m:t>=</m:t>
                </m:r>
                <m:d>
                  <m:dPr>
                    <m:ctrlPr>
                      <w:rPr>
                        <w:rFonts w:ascii="Cambria Math" w:hAnsi="Cambria Math" w:cs="Times New Roman"/>
                        <w:noProof/>
                        <w:sz w:val="20"/>
                        <w:szCs w:val="20"/>
                      </w:rPr>
                    </m:ctrlPr>
                  </m:dPr>
                  <m:e>
                    <m:f>
                      <m:fPr>
                        <m:ctrlPr>
                          <w:rPr>
                            <w:rFonts w:ascii="Cambria Math" w:hAnsi="Cambria Math" w:cs="Times New Roman"/>
                            <w:noProof/>
                            <w:sz w:val="20"/>
                            <w:szCs w:val="20"/>
                          </w:rPr>
                        </m:ctrlPr>
                      </m:fPr>
                      <m:num>
                        <m:r>
                          <w:rPr>
                            <w:rFonts w:ascii="Cambria Math" w:hAnsi="Cambria Math" w:cs="Times New Roman"/>
                            <w:noProof/>
                            <w:sz w:val="20"/>
                            <w:szCs w:val="20"/>
                          </w:rPr>
                          <m:t>3</m:t>
                        </m:r>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w:rPr>
                                <w:rFonts w:ascii="Cambria Math" w:hAnsi="Cambria Math" w:cs="Times New Roman"/>
                                <w:noProof/>
                                <w:sz w:val="20"/>
                                <w:szCs w:val="20"/>
                              </w:rPr>
                              <m:t>GLY</m:t>
                            </m:r>
                          </m:sub>
                        </m:sSub>
                      </m:num>
                      <m:den>
                        <m:r>
                          <w:rPr>
                            <w:rFonts w:ascii="Cambria Math" w:hAnsi="Cambria Math" w:cs="Times New Roman"/>
                            <w:noProof/>
                            <w:sz w:val="20"/>
                            <w:szCs w:val="20"/>
                          </w:rPr>
                          <m:t>92.1</m:t>
                        </m:r>
                        <m:d>
                          <m:dPr>
                            <m:ctrlPr>
                              <w:rPr>
                                <w:rFonts w:ascii="Cambria Math" w:hAnsi="Cambria Math" w:cs="Times New Roman"/>
                                <w:noProof/>
                                <w:sz w:val="20"/>
                                <w:szCs w:val="20"/>
                              </w:rPr>
                            </m:ctrlPr>
                          </m:dPr>
                          <m:e>
                            <m:f>
                              <m:fPr>
                                <m:ctrlPr>
                                  <w:rPr>
                                    <w:rFonts w:ascii="Cambria Math" w:hAnsi="Cambria Math" w:cs="Times New Roman"/>
                                    <w:noProof/>
                                    <w:sz w:val="20"/>
                                    <w:szCs w:val="20"/>
                                  </w:rPr>
                                </m:ctrlPr>
                              </m:fPr>
                              <m:num>
                                <m:r>
                                  <w:rPr>
                                    <w:rFonts w:ascii="Cambria Math" w:hAnsi="Cambria Math" w:cs="Times New Roman"/>
                                    <w:noProof/>
                                    <w:sz w:val="20"/>
                                    <w:szCs w:val="20"/>
                                  </w:rPr>
                                  <m:t>g</m:t>
                                </m:r>
                              </m:num>
                              <m:den>
                                <m:r>
                                  <w:rPr>
                                    <w:rFonts w:ascii="Cambria Math" w:hAnsi="Cambria Math" w:cs="Times New Roman"/>
                                    <w:noProof/>
                                    <w:sz w:val="20"/>
                                    <w:szCs w:val="20"/>
                                  </w:rPr>
                                  <m:t>mol</m:t>
                                </m:r>
                              </m:den>
                            </m:f>
                          </m:e>
                        </m:d>
                      </m:den>
                    </m:f>
                    <m:r>
                      <w:rPr>
                        <w:rFonts w:ascii="Cambria Math" w:hAnsi="Cambria Math" w:cs="Times New Roman"/>
                        <w:noProof/>
                        <w:sz w:val="20"/>
                        <w:szCs w:val="20"/>
                      </w:rPr>
                      <m:t>-</m:t>
                    </m:r>
                    <m:d>
                      <m:dPr>
                        <m:ctrlPr>
                          <w:rPr>
                            <w:rFonts w:ascii="Cambria Math" w:hAnsi="Cambria Math" w:cs="Times New Roman"/>
                            <w:noProof/>
                            <w:sz w:val="20"/>
                            <w:szCs w:val="20"/>
                          </w:rPr>
                        </m:ctrlPr>
                      </m:dPr>
                      <m:e>
                        <m:f>
                          <m:fPr>
                            <m:ctrlPr>
                              <w:rPr>
                                <w:rFonts w:ascii="Cambria Math" w:hAnsi="Cambria Math" w:cs="Times New Roman"/>
                                <w:noProof/>
                                <w:sz w:val="20"/>
                                <w:szCs w:val="20"/>
                              </w:rPr>
                            </m:ctrlPr>
                          </m:fPr>
                          <m:num>
                            <m:sSub>
                              <m:sSubPr>
                                <m:ctrlPr>
                                  <w:rPr>
                                    <w:rFonts w:ascii="Cambria Math" w:hAnsi="Cambria Math" w:cs="Times New Roman"/>
                                    <w:noProof/>
                                    <w:sz w:val="20"/>
                                    <w:szCs w:val="20"/>
                                  </w:rPr>
                                </m:ctrlPr>
                              </m:sSubPr>
                              <m:e>
                                <m:r>
                                  <w:rPr>
                                    <w:rFonts w:ascii="Cambria Math" w:hAnsi="Cambria Math" w:cs="Times New Roman"/>
                                    <w:noProof/>
                                    <w:sz w:val="20"/>
                                    <w:szCs w:val="20"/>
                                  </w:rPr>
                                  <m:t>4C</m:t>
                                </m:r>
                              </m:e>
                              <m:sub>
                                <m:r>
                                  <w:rPr>
                                    <w:rFonts w:ascii="Cambria Math" w:hAnsi="Cambria Math" w:cs="Times New Roman"/>
                                    <w:noProof/>
                                    <w:sz w:val="20"/>
                                    <w:szCs w:val="20"/>
                                  </w:rPr>
                                  <m:t>PHB</m:t>
                                </m:r>
                              </m:sub>
                            </m:sSub>
                          </m:num>
                          <m:den>
                            <m:r>
                              <w:rPr>
                                <w:rFonts w:ascii="Cambria Math" w:hAnsi="Cambria Math" w:cs="Times New Roman"/>
                                <w:noProof/>
                                <w:sz w:val="20"/>
                                <w:szCs w:val="20"/>
                              </w:rPr>
                              <m:t>86</m:t>
                            </m:r>
                            <m:d>
                              <m:dPr>
                                <m:ctrlPr>
                                  <w:rPr>
                                    <w:rFonts w:ascii="Cambria Math" w:hAnsi="Cambria Math" w:cs="Times New Roman"/>
                                    <w:noProof/>
                                    <w:sz w:val="20"/>
                                    <w:szCs w:val="20"/>
                                  </w:rPr>
                                </m:ctrlPr>
                              </m:dPr>
                              <m:e>
                                <m:f>
                                  <m:fPr>
                                    <m:ctrlPr>
                                      <w:rPr>
                                        <w:rFonts w:ascii="Cambria Math" w:hAnsi="Cambria Math" w:cs="Times New Roman"/>
                                        <w:noProof/>
                                        <w:sz w:val="20"/>
                                        <w:szCs w:val="20"/>
                                      </w:rPr>
                                    </m:ctrlPr>
                                  </m:fPr>
                                  <m:num>
                                    <m:r>
                                      <w:rPr>
                                        <w:rFonts w:ascii="Cambria Math" w:hAnsi="Cambria Math" w:cs="Times New Roman"/>
                                        <w:noProof/>
                                        <w:sz w:val="20"/>
                                        <w:szCs w:val="20"/>
                                      </w:rPr>
                                      <m:t>g</m:t>
                                    </m:r>
                                  </m:num>
                                  <m:den>
                                    <m:r>
                                      <w:rPr>
                                        <w:rFonts w:ascii="Cambria Math" w:hAnsi="Cambria Math" w:cs="Times New Roman"/>
                                        <w:noProof/>
                                        <w:sz w:val="20"/>
                                        <w:szCs w:val="20"/>
                                      </w:rPr>
                                      <m:t>mol</m:t>
                                    </m:r>
                                  </m:den>
                                </m:f>
                              </m:e>
                            </m:d>
                          </m:den>
                        </m:f>
                        <m:r>
                          <w:rPr>
                            <w:rFonts w:ascii="Cambria Math" w:hAnsi="Cambria Math" w:cs="Times New Roman"/>
                            <w:noProof/>
                            <w:sz w:val="20"/>
                            <w:szCs w:val="20"/>
                          </w:rPr>
                          <m:t>+</m:t>
                        </m:r>
                        <m:f>
                          <m:fPr>
                            <m:ctrlPr>
                              <w:rPr>
                                <w:rFonts w:ascii="Cambria Math" w:hAnsi="Cambria Math" w:cs="Times New Roman"/>
                                <w:noProof/>
                                <w:sz w:val="20"/>
                                <w:szCs w:val="20"/>
                              </w:rPr>
                            </m:ctrlPr>
                          </m:fPr>
                          <m:num>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w:rPr>
                                    <w:rFonts w:ascii="Cambria Math" w:hAnsi="Cambria Math" w:cs="Times New Roman"/>
                                    <w:noProof/>
                                    <w:sz w:val="20"/>
                                    <w:szCs w:val="20"/>
                                  </w:rPr>
                                  <m:t>BIO</m:t>
                                </m:r>
                              </m:sub>
                            </m:sSub>
                          </m:num>
                          <m:den>
                            <m:r>
                              <w:rPr>
                                <w:rFonts w:ascii="Cambria Math" w:hAnsi="Cambria Math" w:cs="Times New Roman"/>
                                <w:noProof/>
                                <w:sz w:val="20"/>
                                <w:szCs w:val="20"/>
                              </w:rPr>
                              <m:t>33.1</m:t>
                            </m:r>
                            <m:d>
                              <m:dPr>
                                <m:ctrlPr>
                                  <w:rPr>
                                    <w:rFonts w:ascii="Cambria Math" w:hAnsi="Cambria Math" w:cs="Times New Roman"/>
                                    <w:noProof/>
                                    <w:sz w:val="20"/>
                                    <w:szCs w:val="20"/>
                                  </w:rPr>
                                </m:ctrlPr>
                              </m:dPr>
                              <m:e>
                                <m:f>
                                  <m:fPr>
                                    <m:ctrlPr>
                                      <w:rPr>
                                        <w:rFonts w:ascii="Cambria Math" w:hAnsi="Cambria Math" w:cs="Times New Roman"/>
                                        <w:noProof/>
                                        <w:sz w:val="20"/>
                                        <w:szCs w:val="20"/>
                                      </w:rPr>
                                    </m:ctrlPr>
                                  </m:fPr>
                                  <m:num>
                                    <m:r>
                                      <w:rPr>
                                        <w:rFonts w:ascii="Cambria Math" w:hAnsi="Cambria Math" w:cs="Times New Roman"/>
                                        <w:noProof/>
                                        <w:sz w:val="20"/>
                                        <w:szCs w:val="20"/>
                                      </w:rPr>
                                      <m:t>g</m:t>
                                    </m:r>
                                  </m:num>
                                  <m:den>
                                    <m:r>
                                      <w:rPr>
                                        <w:rFonts w:ascii="Cambria Math" w:hAnsi="Cambria Math" w:cs="Times New Roman"/>
                                        <w:noProof/>
                                        <w:sz w:val="20"/>
                                        <w:szCs w:val="20"/>
                                      </w:rPr>
                                      <m:t>mol</m:t>
                                    </m:r>
                                  </m:den>
                                </m:f>
                              </m:e>
                            </m:d>
                          </m:den>
                        </m:f>
                        <m:r>
                          <w:rPr>
                            <w:rFonts w:ascii="Cambria Math" w:hAnsi="Cambria Math" w:cs="Times New Roman"/>
                            <w:noProof/>
                            <w:sz w:val="20"/>
                            <w:szCs w:val="20"/>
                          </w:rPr>
                          <m:t>+</m:t>
                        </m:r>
                        <m:f>
                          <m:fPr>
                            <m:ctrlPr>
                              <w:rPr>
                                <w:rFonts w:ascii="Cambria Math" w:hAnsi="Cambria Math" w:cs="Times New Roman"/>
                                <w:noProof/>
                                <w:sz w:val="20"/>
                                <w:szCs w:val="20"/>
                              </w:rPr>
                            </m:ctrlPr>
                          </m:fPr>
                          <m:num>
                            <m:sSub>
                              <m:sSubPr>
                                <m:ctrlPr>
                                  <w:rPr>
                                    <w:rFonts w:ascii="Cambria Math" w:hAnsi="Cambria Math" w:cs="Times New Roman"/>
                                    <w:noProof/>
                                    <w:sz w:val="20"/>
                                    <w:szCs w:val="20"/>
                                  </w:rPr>
                                </m:ctrlPr>
                              </m:sSubPr>
                              <m:e>
                                <m:r>
                                  <w:rPr>
                                    <w:rFonts w:ascii="Cambria Math" w:hAnsi="Cambria Math" w:cs="Times New Roman"/>
                                    <w:noProof/>
                                    <w:sz w:val="20"/>
                                    <w:szCs w:val="20"/>
                                  </w:rPr>
                                  <m:t>4C</m:t>
                                </m:r>
                              </m:e>
                              <m:sub>
                                <m:r>
                                  <w:rPr>
                                    <w:rFonts w:ascii="Cambria Math" w:hAnsi="Cambria Math" w:cs="Times New Roman"/>
                                    <w:noProof/>
                                    <w:sz w:val="20"/>
                                    <w:szCs w:val="20"/>
                                  </w:rPr>
                                  <m:t>MAL</m:t>
                                </m:r>
                              </m:sub>
                            </m:sSub>
                          </m:num>
                          <m:den>
                            <m:r>
                              <w:rPr>
                                <w:rFonts w:ascii="Cambria Math" w:hAnsi="Cambria Math" w:cs="Times New Roman"/>
                                <w:noProof/>
                                <w:sz w:val="20"/>
                                <w:szCs w:val="20"/>
                              </w:rPr>
                              <m:t>134.1</m:t>
                            </m:r>
                            <m:d>
                              <m:dPr>
                                <m:ctrlPr>
                                  <w:rPr>
                                    <w:rFonts w:ascii="Cambria Math" w:hAnsi="Cambria Math" w:cs="Times New Roman"/>
                                    <w:noProof/>
                                    <w:sz w:val="20"/>
                                    <w:szCs w:val="20"/>
                                  </w:rPr>
                                </m:ctrlPr>
                              </m:dPr>
                              <m:e>
                                <m:f>
                                  <m:fPr>
                                    <m:ctrlPr>
                                      <w:rPr>
                                        <w:rFonts w:ascii="Cambria Math" w:hAnsi="Cambria Math" w:cs="Times New Roman"/>
                                        <w:noProof/>
                                        <w:sz w:val="20"/>
                                        <w:szCs w:val="20"/>
                                      </w:rPr>
                                    </m:ctrlPr>
                                  </m:fPr>
                                  <m:num>
                                    <m:r>
                                      <w:rPr>
                                        <w:rFonts w:ascii="Cambria Math" w:hAnsi="Cambria Math" w:cs="Times New Roman"/>
                                        <w:noProof/>
                                        <w:sz w:val="20"/>
                                        <w:szCs w:val="20"/>
                                      </w:rPr>
                                      <m:t>g</m:t>
                                    </m:r>
                                  </m:num>
                                  <m:den>
                                    <m:r>
                                      <w:rPr>
                                        <w:rFonts w:ascii="Cambria Math" w:hAnsi="Cambria Math" w:cs="Times New Roman"/>
                                        <w:noProof/>
                                        <w:sz w:val="20"/>
                                        <w:szCs w:val="20"/>
                                      </w:rPr>
                                      <m:t>mol</m:t>
                                    </m:r>
                                  </m:den>
                                </m:f>
                              </m:e>
                            </m:d>
                          </m:den>
                        </m:f>
                        <m:r>
                          <w:rPr>
                            <w:rFonts w:ascii="Cambria Math" w:hAnsi="Cambria Math" w:cs="Times New Roman"/>
                            <w:noProof/>
                            <w:sz w:val="20"/>
                            <w:szCs w:val="20"/>
                          </w:rPr>
                          <m:t>+</m:t>
                        </m:r>
                        <m:f>
                          <m:fPr>
                            <m:ctrlPr>
                              <w:rPr>
                                <w:rFonts w:ascii="Cambria Math" w:hAnsi="Cambria Math" w:cs="Times New Roman"/>
                                <w:noProof/>
                                <w:sz w:val="20"/>
                                <w:szCs w:val="20"/>
                              </w:rPr>
                            </m:ctrlPr>
                          </m:fPr>
                          <m:num>
                            <m:sSub>
                              <m:sSubPr>
                                <m:ctrlPr>
                                  <w:rPr>
                                    <w:rFonts w:ascii="Cambria Math" w:hAnsi="Cambria Math" w:cs="Times New Roman"/>
                                    <w:noProof/>
                                    <w:sz w:val="20"/>
                                    <w:szCs w:val="20"/>
                                  </w:rPr>
                                </m:ctrlPr>
                              </m:sSubPr>
                              <m:e>
                                <m:r>
                                  <w:rPr>
                                    <w:rFonts w:ascii="Cambria Math" w:hAnsi="Cambria Math" w:cs="Times New Roman"/>
                                    <w:noProof/>
                                    <w:sz w:val="20"/>
                                    <w:szCs w:val="20"/>
                                  </w:rPr>
                                  <m:t>2C</m:t>
                                </m:r>
                              </m:e>
                              <m:sub>
                                <m:r>
                                  <w:rPr>
                                    <w:rFonts w:ascii="Cambria Math" w:hAnsi="Cambria Math" w:cs="Times New Roman"/>
                                    <w:noProof/>
                                    <w:sz w:val="20"/>
                                    <w:szCs w:val="20"/>
                                  </w:rPr>
                                  <m:t>AC</m:t>
                                </m:r>
                              </m:sub>
                            </m:sSub>
                          </m:num>
                          <m:den>
                            <m:r>
                              <w:rPr>
                                <w:rFonts w:ascii="Cambria Math" w:hAnsi="Cambria Math" w:cs="Times New Roman"/>
                                <w:noProof/>
                                <w:sz w:val="20"/>
                                <w:szCs w:val="20"/>
                              </w:rPr>
                              <m:t>60</m:t>
                            </m:r>
                            <m:d>
                              <m:dPr>
                                <m:ctrlPr>
                                  <w:rPr>
                                    <w:rFonts w:ascii="Cambria Math" w:hAnsi="Cambria Math" w:cs="Times New Roman"/>
                                    <w:noProof/>
                                    <w:sz w:val="20"/>
                                    <w:szCs w:val="20"/>
                                  </w:rPr>
                                </m:ctrlPr>
                              </m:dPr>
                              <m:e>
                                <m:f>
                                  <m:fPr>
                                    <m:ctrlPr>
                                      <w:rPr>
                                        <w:rFonts w:ascii="Cambria Math" w:hAnsi="Cambria Math" w:cs="Times New Roman"/>
                                        <w:noProof/>
                                        <w:sz w:val="20"/>
                                        <w:szCs w:val="20"/>
                                      </w:rPr>
                                    </m:ctrlPr>
                                  </m:fPr>
                                  <m:num>
                                    <m:r>
                                      <w:rPr>
                                        <w:rFonts w:ascii="Cambria Math" w:hAnsi="Cambria Math" w:cs="Times New Roman"/>
                                        <w:noProof/>
                                        <w:sz w:val="20"/>
                                        <w:szCs w:val="20"/>
                                      </w:rPr>
                                      <m:t>g</m:t>
                                    </m:r>
                                  </m:num>
                                  <m:den>
                                    <m:r>
                                      <w:rPr>
                                        <w:rFonts w:ascii="Cambria Math" w:hAnsi="Cambria Math" w:cs="Times New Roman"/>
                                        <w:noProof/>
                                        <w:sz w:val="20"/>
                                        <w:szCs w:val="20"/>
                                      </w:rPr>
                                      <m:t>mol</m:t>
                                    </m:r>
                                  </m:den>
                                </m:f>
                              </m:e>
                            </m:d>
                          </m:den>
                        </m:f>
                      </m:e>
                    </m:d>
                  </m:e>
                </m:d>
                <m:r>
                  <w:rPr>
                    <w:rFonts w:ascii="Cambria Math" w:hAnsi="Cambria Math" w:cs="Times New Roman"/>
                    <w:noProof/>
                    <w:sz w:val="20"/>
                    <w:szCs w:val="20"/>
                  </w:rPr>
                  <m:t>×44(</m:t>
                </m:r>
                <m:f>
                  <m:fPr>
                    <m:ctrlPr>
                      <w:rPr>
                        <w:rFonts w:ascii="Cambria Math" w:hAnsi="Cambria Math" w:cs="Times New Roman"/>
                        <w:noProof/>
                        <w:sz w:val="20"/>
                        <w:szCs w:val="20"/>
                      </w:rPr>
                    </m:ctrlPr>
                  </m:fPr>
                  <m:num>
                    <m:r>
                      <w:rPr>
                        <w:rFonts w:ascii="Cambria Math" w:hAnsi="Cambria Math" w:cs="Times New Roman"/>
                        <w:noProof/>
                        <w:sz w:val="20"/>
                        <w:szCs w:val="20"/>
                      </w:rPr>
                      <m:t>g</m:t>
                    </m:r>
                  </m:num>
                  <m:den>
                    <m:r>
                      <w:rPr>
                        <w:rFonts w:ascii="Cambria Math" w:hAnsi="Cambria Math" w:cs="Times New Roman"/>
                        <w:noProof/>
                        <w:sz w:val="20"/>
                        <w:szCs w:val="20"/>
                      </w:rPr>
                      <m:t>mol</m:t>
                    </m:r>
                  </m:den>
                </m:f>
                <m:r>
                  <w:rPr>
                    <w:rFonts w:ascii="Cambria Math" w:hAnsi="Cambria Math" w:cs="Times New Roman"/>
                    <w:noProof/>
                    <w:sz w:val="20"/>
                    <w:szCs w:val="20"/>
                  </w:rPr>
                  <m:t>)</m:t>
                </m:r>
              </m:oMath>
            </m:oMathPara>
          </w:p>
        </w:tc>
        <w:tc>
          <w:tcPr>
            <w:tcW w:w="819" w:type="pct"/>
            <w:vAlign w:val="center"/>
          </w:tcPr>
          <w:p w:rsidR="008802B1" w:rsidRPr="008F4B40" w:rsidRDefault="00437BC5" w:rsidP="008802B1">
            <w:pPr>
              <w:spacing w:after="0" w:line="360" w:lineRule="auto"/>
              <w:jc w:val="center"/>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18</w:t>
            </w:r>
          </w:p>
        </w:tc>
      </w:tr>
    </w:tbl>
    <w:p w:rsidR="008802B1" w:rsidRPr="008F4B40" w:rsidRDefault="008802B1" w:rsidP="008802B1">
      <w:pPr>
        <w:autoSpaceDE w:val="0"/>
        <w:autoSpaceDN w:val="0"/>
        <w:adjustRightInd w:val="0"/>
        <w:spacing w:after="0" w:line="24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Where:</w:t>
      </w:r>
    </w:p>
    <w:p w:rsidR="008802B1" w:rsidRPr="008F4B40" w:rsidRDefault="008802B1" w:rsidP="008802B1">
      <w:pPr>
        <w:pStyle w:val="a7"/>
        <w:spacing w:line="360" w:lineRule="auto"/>
        <w:jc w:val="both"/>
        <w:rPr>
          <w:rFonts w:ascii="Palatino Linotype" w:hAnsi="Palatino Linotype" w:cs="Times New Roman"/>
          <w:i/>
          <w:sz w:val="20"/>
          <w:szCs w:val="20"/>
          <w:shd w:val="clear" w:color="auto" w:fill="FFFFFF"/>
        </w:rPr>
      </w:pPr>
      <w:r w:rsidRPr="008F4B40">
        <w:rPr>
          <w:rFonts w:ascii="Palatino Linotype" w:hAnsi="Palatino Linotype" w:cs="Times New Roman"/>
          <w:noProof/>
          <w:sz w:val="20"/>
          <w:szCs w:val="20"/>
          <w:shd w:val="clear" w:color="auto" w:fill="FFFFFF"/>
        </w:rPr>
        <w:t>C</w:t>
      </w:r>
      <w:r w:rsidRPr="008F4B40">
        <w:rPr>
          <w:rFonts w:ascii="Palatino Linotype" w:hAnsi="Palatino Linotype" w:cs="Times New Roman"/>
          <w:noProof/>
          <w:sz w:val="20"/>
          <w:szCs w:val="20"/>
          <w:shd w:val="clear" w:color="auto" w:fill="FFFFFF"/>
          <w:vertAlign w:val="subscript"/>
        </w:rPr>
        <w:t>GLY</w:t>
      </w:r>
      <w:r w:rsidRPr="008F4B40">
        <w:rPr>
          <w:rFonts w:ascii="Palatino Linotype" w:hAnsi="Palatino Linotype" w:cs="Times New Roman"/>
          <w:sz w:val="20"/>
          <w:szCs w:val="20"/>
          <w:shd w:val="clear" w:color="auto" w:fill="FFFFFF"/>
        </w:rPr>
        <w:t xml:space="preserve">, </w:t>
      </w:r>
      <w:r w:rsidRPr="008F4B40">
        <w:rPr>
          <w:rFonts w:ascii="Palatino Linotype" w:hAnsi="Palatino Linotype" w:cs="Times New Roman"/>
          <w:noProof/>
          <w:sz w:val="20"/>
          <w:szCs w:val="20"/>
          <w:shd w:val="clear" w:color="auto" w:fill="FFFFFF"/>
        </w:rPr>
        <w:t>C</w:t>
      </w:r>
      <w:r w:rsidRPr="008F4B40">
        <w:rPr>
          <w:rFonts w:ascii="Palatino Linotype" w:hAnsi="Palatino Linotype" w:cs="Times New Roman"/>
          <w:noProof/>
          <w:sz w:val="20"/>
          <w:szCs w:val="20"/>
          <w:shd w:val="clear" w:color="auto" w:fill="FFFFFF"/>
          <w:vertAlign w:val="subscript"/>
        </w:rPr>
        <w:t>PHB</w:t>
      </w:r>
      <w:r w:rsidRPr="008F4B40">
        <w:rPr>
          <w:rFonts w:ascii="Palatino Linotype" w:hAnsi="Palatino Linotype" w:cs="Times New Roman"/>
          <w:sz w:val="20"/>
          <w:szCs w:val="20"/>
          <w:shd w:val="clear" w:color="auto" w:fill="FFFFFF"/>
        </w:rPr>
        <w:t xml:space="preserve">, </w:t>
      </w:r>
      <w:r w:rsidRPr="008F4B40">
        <w:rPr>
          <w:rFonts w:ascii="Palatino Linotype" w:hAnsi="Palatino Linotype" w:cs="Times New Roman"/>
          <w:noProof/>
          <w:sz w:val="20"/>
          <w:szCs w:val="20"/>
          <w:shd w:val="clear" w:color="auto" w:fill="FFFFFF"/>
        </w:rPr>
        <w:t>C</w:t>
      </w:r>
      <w:r w:rsidRPr="008F4B40">
        <w:rPr>
          <w:rFonts w:ascii="Palatino Linotype" w:hAnsi="Palatino Linotype" w:cs="Times New Roman"/>
          <w:noProof/>
          <w:sz w:val="20"/>
          <w:szCs w:val="20"/>
          <w:shd w:val="clear" w:color="auto" w:fill="FFFFFF"/>
          <w:vertAlign w:val="subscript"/>
        </w:rPr>
        <w:t>BIO</w:t>
      </w:r>
      <w:r w:rsidRPr="008F4B40">
        <w:rPr>
          <w:rFonts w:ascii="Palatino Linotype" w:hAnsi="Palatino Linotype" w:cs="Times New Roman"/>
          <w:sz w:val="20"/>
          <w:szCs w:val="20"/>
          <w:shd w:val="clear" w:color="auto" w:fill="FFFFFF"/>
        </w:rPr>
        <w:t xml:space="preserve">, </w:t>
      </w:r>
      <w:r w:rsidRPr="008F4B40">
        <w:rPr>
          <w:rFonts w:ascii="Palatino Linotype" w:hAnsi="Palatino Linotype" w:cs="Times New Roman"/>
          <w:noProof/>
          <w:sz w:val="20"/>
          <w:szCs w:val="20"/>
          <w:shd w:val="clear" w:color="auto" w:fill="FFFFFF"/>
        </w:rPr>
        <w:t>C</w:t>
      </w:r>
      <w:r w:rsidRPr="008F4B40">
        <w:rPr>
          <w:rFonts w:ascii="Palatino Linotype" w:hAnsi="Palatino Linotype" w:cs="Times New Roman"/>
          <w:noProof/>
          <w:sz w:val="20"/>
          <w:szCs w:val="20"/>
          <w:shd w:val="clear" w:color="auto" w:fill="FFFFFF"/>
          <w:vertAlign w:val="subscript"/>
        </w:rPr>
        <w:t>MAL</w:t>
      </w:r>
      <w:r w:rsidRPr="008F4B40">
        <w:rPr>
          <w:rFonts w:ascii="Palatino Linotype" w:hAnsi="Palatino Linotype" w:cs="Times New Roman"/>
          <w:sz w:val="20"/>
          <w:szCs w:val="20"/>
          <w:shd w:val="clear" w:color="auto" w:fill="FFFFFF"/>
        </w:rPr>
        <w:t xml:space="preserve">, and </w:t>
      </w:r>
      <w:r w:rsidRPr="008F4B40">
        <w:rPr>
          <w:rFonts w:ascii="Palatino Linotype" w:hAnsi="Palatino Linotype" w:cs="Times New Roman"/>
          <w:noProof/>
          <w:sz w:val="20"/>
          <w:szCs w:val="20"/>
          <w:shd w:val="clear" w:color="auto" w:fill="FFFFFF"/>
        </w:rPr>
        <w:t>C</w:t>
      </w:r>
      <w:r w:rsidRPr="008F4B40">
        <w:rPr>
          <w:rFonts w:ascii="Palatino Linotype" w:hAnsi="Palatino Linotype" w:cs="Times New Roman"/>
          <w:noProof/>
          <w:sz w:val="20"/>
          <w:szCs w:val="20"/>
          <w:shd w:val="clear" w:color="auto" w:fill="FFFFFF"/>
          <w:vertAlign w:val="subscript"/>
        </w:rPr>
        <w:t>AC</w:t>
      </w:r>
      <w:r w:rsidRPr="008F4B40">
        <w:rPr>
          <w:rFonts w:ascii="Palatino Linotype" w:hAnsi="Palatino Linotype" w:cs="Times New Roman"/>
          <w:sz w:val="20"/>
          <w:szCs w:val="20"/>
          <w:shd w:val="clear" w:color="auto" w:fill="FFFFFF"/>
        </w:rPr>
        <w:t xml:space="preserve"> are the concentrations (in g/l) for glycerol, PHB, active-biomass, malic acid and acetic acid, respectively. Depending on the fermentation conditions, 33-56% of the carbon in glycerol consumed can be lost as CO</w:t>
      </w:r>
      <w:r w:rsidRPr="008F4B40">
        <w:rPr>
          <w:rFonts w:ascii="Palatino Linotype" w:hAnsi="Palatino Linotype" w:cs="Times New Roman"/>
          <w:sz w:val="20"/>
          <w:szCs w:val="20"/>
          <w:shd w:val="clear" w:color="auto" w:fill="FFFFFF"/>
          <w:vertAlign w:val="subscript"/>
        </w:rPr>
        <w:t>2</w:t>
      </w:r>
      <w:r w:rsidRPr="008F4B40">
        <w:rPr>
          <w:rFonts w:ascii="Palatino Linotype" w:hAnsi="Palatino Linotype" w:cs="Times New Roman"/>
          <w:sz w:val="20"/>
          <w:szCs w:val="20"/>
          <w:shd w:val="clear" w:color="auto" w:fill="FFFFFF"/>
        </w:rPr>
        <w:t xml:space="preserve"> in total. </w:t>
      </w:r>
    </w:p>
    <w:p w:rsidR="008802B1" w:rsidRPr="008F4B40" w:rsidRDefault="00FA3D25" w:rsidP="00F315E9">
      <w:pPr>
        <w:pStyle w:val="3"/>
        <w:numPr>
          <w:ilvl w:val="1"/>
          <w:numId w:val="33"/>
        </w:numPr>
        <w:spacing w:before="0"/>
        <w:rPr>
          <w:rFonts w:ascii="Palatino Linotype" w:hAnsi="Palatino Linotype" w:cs="Times New Roman"/>
          <w:color w:val="auto"/>
          <w:sz w:val="20"/>
          <w:szCs w:val="20"/>
        </w:rPr>
      </w:pPr>
      <w:bookmarkStart w:id="73" w:name="_Toc500722096"/>
      <w:bookmarkStart w:id="74" w:name="_Toc38967973"/>
      <w:bookmarkStart w:id="75" w:name="OLE_LINK105"/>
      <w:bookmarkStart w:id="76" w:name="OLE_LINK106"/>
      <w:r w:rsidRPr="008F4B40">
        <w:rPr>
          <w:rFonts w:ascii="Palatino Linotype" w:hAnsi="Palatino Linotype" w:cs="Times New Roman"/>
          <w:color w:val="auto"/>
          <w:sz w:val="20"/>
          <w:szCs w:val="20"/>
        </w:rPr>
        <w:t>E</w:t>
      </w:r>
      <w:r w:rsidR="008802B1" w:rsidRPr="008F4B40">
        <w:rPr>
          <w:rFonts w:ascii="Palatino Linotype" w:hAnsi="Palatino Linotype" w:cs="Times New Roman"/>
          <w:color w:val="auto"/>
          <w:sz w:val="20"/>
          <w:szCs w:val="20"/>
        </w:rPr>
        <w:t>rror propagation</w:t>
      </w:r>
      <w:bookmarkEnd w:id="73"/>
      <w:bookmarkEnd w:id="74"/>
    </w:p>
    <w:p w:rsidR="008802B1" w:rsidRPr="008F4B40" w:rsidRDefault="008802B1" w:rsidP="008802B1">
      <w:pPr>
        <w:autoSpaceDE w:val="0"/>
        <w:autoSpaceDN w:val="0"/>
        <w:adjustRightInd w:val="0"/>
        <w:spacing w:after="0" w:line="360" w:lineRule="auto"/>
        <w:jc w:val="both"/>
        <w:rPr>
          <w:rFonts w:ascii="Palatino Linotype" w:hAnsi="Palatino Linotype" w:cs="Times New Roman"/>
          <w:i/>
          <w:iCs/>
          <w:sz w:val="20"/>
          <w:szCs w:val="20"/>
        </w:rPr>
      </w:pPr>
      <w:bookmarkStart w:id="77" w:name="_Error_propagation"/>
      <w:bookmarkEnd w:id="75"/>
      <w:bookmarkEnd w:id="76"/>
      <w:bookmarkEnd w:id="77"/>
      <w:r w:rsidRPr="008F4B40">
        <w:rPr>
          <w:rFonts w:ascii="Palatino Linotype" w:hAnsi="Palatino Linotype" w:cs="Times New Roman"/>
          <w:sz w:val="20"/>
          <w:szCs w:val="20"/>
        </w:rPr>
        <w:t xml:space="preserve">In addition to gross error, metabolic fluxes are also affected by system errors and random errors present in the concentration measurements, which can come from </w:t>
      </w:r>
      <w:r w:rsidRPr="008F4B40">
        <w:rPr>
          <w:rFonts w:ascii="Palatino Linotype" w:hAnsi="Palatino Linotype" w:cs="Times New Roman"/>
          <w:noProof/>
          <w:sz w:val="20"/>
          <w:szCs w:val="20"/>
        </w:rPr>
        <w:t>different</w:t>
      </w:r>
      <w:r w:rsidRPr="008F4B40">
        <w:rPr>
          <w:rFonts w:ascii="Palatino Linotype" w:hAnsi="Palatino Linotype" w:cs="Times New Roman"/>
          <w:sz w:val="20"/>
          <w:szCs w:val="20"/>
        </w:rPr>
        <w:t xml:space="preserve"> sources. Using glycerol uptake flux as an example, we demonstrate how the errors in metabolic fluxes can be propagated from those of the concentration measurements.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iCs/>
          <w:sz w:val="20"/>
          <w:szCs w:val="20"/>
        </w:rPr>
      </w:pPr>
      <w:r w:rsidRPr="008F4B40">
        <w:rPr>
          <w:rFonts w:ascii="Palatino Linotype" w:hAnsi="Palatino Linotype" w:cs="Times New Roman"/>
          <w:sz w:val="20"/>
          <w:szCs w:val="20"/>
        </w:rPr>
        <w:t xml:space="preserve">First of all, measured glycerol concentration is affected by random errors due to HPLC signal fluctuations. The glycerol concentration was measured in triplicate by HPLC, so the associated random error was given as the standard deviation </w:t>
      </w:r>
      <w:r w:rsidRPr="008F4B40">
        <w:rPr>
          <w:rFonts w:ascii="Palatino Linotype" w:hAnsi="Palatino Linotype" w:cs="Times New Roman"/>
          <w:b/>
          <w:sz w:val="20"/>
          <w:szCs w:val="20"/>
        </w:rPr>
        <w:t xml:space="preserve">σ </w:t>
      </w:r>
      <w:r w:rsidRPr="008F4B40">
        <w:rPr>
          <w:rFonts w:ascii="Palatino Linotype" w:hAnsi="Palatino Linotype" w:cs="Times New Roman"/>
          <w:sz w:val="20"/>
          <w:szCs w:val="20"/>
        </w:rPr>
        <w:t xml:space="preserve">of the triplicate measurements. Hence, the overall HPLC-bound random error </w:t>
      </w:r>
      <w:r w:rsidRPr="008F4B40">
        <w:rPr>
          <w:rFonts w:ascii="Palatino Linotype" w:hAnsi="Palatino Linotype" w:cs="Times New Roman"/>
          <w:b/>
          <w:sz w:val="20"/>
          <w:szCs w:val="20"/>
        </w:rPr>
        <w:t>ε</w:t>
      </w:r>
      <w:r w:rsidRPr="008F4B40">
        <w:rPr>
          <w:rFonts w:ascii="Palatino Linotype" w:hAnsi="Palatino Linotype" w:cs="Times New Roman"/>
          <w:b/>
          <w:sz w:val="20"/>
          <w:szCs w:val="20"/>
          <w:vertAlign w:val="subscript"/>
        </w:rPr>
        <w:t>r</w:t>
      </w:r>
      <w:r w:rsidRPr="008F4B40">
        <w:rPr>
          <w:rFonts w:ascii="Palatino Linotype" w:hAnsi="Palatino Linotype" w:cs="Times New Roman"/>
          <w:sz w:val="20"/>
          <w:szCs w:val="20"/>
        </w:rPr>
        <w:t xml:space="preserve"> was calculated as the mean of the random errors of a</w:t>
      </w:r>
      <w:r w:rsidR="00AC7961" w:rsidRPr="008F4B40">
        <w:rPr>
          <w:rFonts w:ascii="Palatino Linotype" w:hAnsi="Palatino Linotype" w:cs="Times New Roman"/>
          <w:sz w:val="20"/>
          <w:szCs w:val="20"/>
        </w:rPr>
        <w:t>ll glycerol measurements (Eq.</w:t>
      </w:r>
      <w:r w:rsidRPr="008F4B40">
        <w:rPr>
          <w:rFonts w:ascii="Palatino Linotype" w:hAnsi="Palatino Linotype" w:cs="Times New Roman"/>
          <w:sz w:val="20"/>
          <w:szCs w:val="20"/>
        </w:rPr>
        <w:t xml:space="preserve">25) </w:t>
      </w:r>
      <w:r w:rsidRPr="008F4B40">
        <w:rPr>
          <w:rFonts w:ascii="Palatino Linotype" w:hAnsi="Palatino Linotype" w:cs="Times New Roman"/>
          <w:i/>
          <w:iCs/>
          <w:sz w:val="20"/>
          <w:szCs w:val="20"/>
        </w:rPr>
        <w:fldChar w:fldCharType="begin" w:fldLock="1"/>
      </w:r>
      <w:r w:rsidR="00E3332A" w:rsidRPr="008F4B40">
        <w:rPr>
          <w:rFonts w:ascii="Palatino Linotype" w:hAnsi="Palatino Linotype" w:cs="Times New Roman"/>
          <w:sz w:val="20"/>
          <w:szCs w:val="20"/>
        </w:rPr>
        <w:instrText>ADDIN CSL_CITATION {"citationItems":[{"id":"ITEM-1","itemData":{"ISBN":"0130228885","abstract":"Instrument calibration is an essential stage in most measurement procedures. It is a set of operations that establish the relationship between the output of the measurement system (e.g., the response of an instrument) and the accepted values of the calibration standards (e.g., the amount of analyte present). A large number of analytical methods require the calibration of an instrument. This typically involves the preparation of a set of standards containing a known amount of the analyte of interest, measuring the instrument response for each standard and establishing the relationship between the instrument response and analyte concentration. This relationship is then used to transform measurements made on test samples into estimates of the amount of analyte present. As calibration is such a common and important step in analytical methods, it is essential that analysts have a good understanding of how to set up calibration experiments and how to evaluate the results obtained. During August 2002 a benchmarking exercise was undertaken, which involved the preparation and analysis of calibration standards and a test sample using UV spectrophotometry. The aim of the exercise was to investigate the uncertainties associated with the construction of a calibration curve, and with using the calibration curve to determine the concentration of an unknown compound in an aqueous solution. In addition, it was hoped to identify any common problems encountered by analysts undertaking calibration experiments. Members of the Environmental Measurement Training Network (EMTN) and the SOCSA Analytical Network Group (SANG) were invited to participate in the exercise. Five members of EMTN, six members of SANG and three organisations who are members of both EMTN and SANG submitted results. Some participants submitted results from more than one analyst, giving 19 sets of results in total. Full details of the protocol and results sheet circulated to the laboratories can be found in Appendix 1. Appendix 2 contains an ideal set of results from the benchmarking exercise to illustrate how the report should be presented. The results of the benchmarking exercise were interesting. Although the exercise initially appeared relatively straightforward, a number of mistakes in carrying out the experiments and analysing the data were identified. Since a number of the mistakes occurred in more than one laboratory, it is likely that other laboratories carrying out similar exercises may make the …","author":[{"dropping-particle":"","family":"Prichard","given":"Liz","non-dropping-particle":"","parse-names":false,"suffix":""},{"dropping-particle":"","family":"Barwick","given":"Vicki","non-dropping-particle":"","parse-names":false,"suffix":""}],"container-title":"Lgc","id":"ITEM-1","issued":{"date-parts":[["2003"]]},"page":"1-27","title":"Preparation of Calibration Curves: A Guide to Best Practice","type":"article-journal"},"uris":["http://www.mendeley.com/documents/?uuid=91de045d-8be1-46f4-a68f-5d6e7079341b"]}],"mendeley":{"formattedCitation":"[12]","plainTextFormattedCitation":"[12]","previouslyFormattedCitation":"[12]"},"properties":{"noteIndex":0},"schema":"https://github.com/citation-style-language/schema/raw/master/csl-citation.json"}</w:instrText>
      </w:r>
      <w:r w:rsidRPr="008F4B40">
        <w:rPr>
          <w:rFonts w:ascii="Palatino Linotype" w:hAnsi="Palatino Linotype" w:cs="Times New Roman"/>
          <w:i/>
          <w:iCs/>
          <w:sz w:val="20"/>
          <w:szCs w:val="20"/>
        </w:rPr>
        <w:fldChar w:fldCharType="separate"/>
      </w:r>
      <w:r w:rsidR="00E3332A" w:rsidRPr="008F4B40">
        <w:rPr>
          <w:rFonts w:ascii="Palatino Linotype" w:hAnsi="Palatino Linotype" w:cs="Times New Roman"/>
          <w:noProof/>
          <w:sz w:val="20"/>
          <w:szCs w:val="20"/>
        </w:rPr>
        <w:t>[12]</w:t>
      </w:r>
      <w:r w:rsidRPr="008F4B40">
        <w:rPr>
          <w:rFonts w:ascii="Palatino Linotype" w:hAnsi="Palatino Linotype" w:cs="Times New Roman"/>
          <w:i/>
          <w:iCs/>
          <w:sz w:val="20"/>
          <w:szCs w:val="20"/>
        </w:rPr>
        <w:fldChar w:fldCharType="end"/>
      </w:r>
      <w:r w:rsidRPr="008F4B40">
        <w:rPr>
          <w:rFonts w:ascii="Palatino Linotype" w:hAnsi="Palatino Linotype" w:cs="Times New Roman"/>
          <w:sz w:val="20"/>
          <w:szCs w:val="20"/>
        </w:rPr>
        <w:t xml:space="preserve">. </w:t>
      </w:r>
    </w:p>
    <w:tbl>
      <w:tblPr>
        <w:tblW w:w="5000" w:type="pct"/>
        <w:tblLook w:val="04A0" w:firstRow="1" w:lastRow="0" w:firstColumn="1" w:lastColumn="0" w:noHBand="0" w:noVBand="1"/>
      </w:tblPr>
      <w:tblGrid>
        <w:gridCol w:w="8330"/>
        <w:gridCol w:w="1632"/>
      </w:tblGrid>
      <w:tr w:rsidR="008802B1" w:rsidRPr="008F4B40" w:rsidTr="008802B1">
        <w:tc>
          <w:tcPr>
            <w:tcW w:w="4181" w:type="pct"/>
            <w:vAlign w:val="center"/>
          </w:tcPr>
          <w:p w:rsidR="008802B1" w:rsidRPr="008F4B40" w:rsidRDefault="0033302D" w:rsidP="008802B1">
            <w:pPr>
              <w:pStyle w:val="a7"/>
              <w:spacing w:line="360" w:lineRule="auto"/>
              <w:jc w:val="both"/>
              <w:rPr>
                <w:rFonts w:ascii="Palatino Linotype" w:hAnsi="Palatino Linotype" w:cs="Times New Roman"/>
                <w:i/>
                <w:noProof/>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ε</m:t>
                    </m:r>
                  </m:e>
                  <m:sub>
                    <m:r>
                      <w:rPr>
                        <w:rFonts w:ascii="Cambria Math" w:hAnsi="Cambria Math" w:cs="Times New Roman"/>
                        <w:sz w:val="20"/>
                        <w:szCs w:val="20"/>
                      </w:rPr>
                      <m:t>r</m:t>
                    </m:r>
                  </m:sub>
                </m:sSub>
                <m: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1</m:t>
                    </m:r>
                  </m:num>
                  <m:den>
                    <m:r>
                      <w:rPr>
                        <w:rFonts w:ascii="Cambria Math" w:hAnsi="Cambria Math" w:cs="Times New Roman"/>
                        <w:sz w:val="20"/>
                        <w:szCs w:val="20"/>
                      </w:rPr>
                      <m:t>k</m:t>
                    </m:r>
                  </m:den>
                </m:f>
                <m:nary>
                  <m:naryPr>
                    <m:chr m:val="∑"/>
                    <m:limLoc m:val="undOvr"/>
                    <m:ctrlPr>
                      <w:rPr>
                        <w:rFonts w:ascii="Cambria Math" w:hAnsi="Cambria Math" w:cs="Times New Roman"/>
                        <w:sz w:val="20"/>
                        <w:szCs w:val="20"/>
                      </w:rPr>
                    </m:ctrlPr>
                  </m:naryPr>
                  <m:sub>
                    <m:r>
                      <w:rPr>
                        <w:rFonts w:ascii="Cambria Math" w:hAnsi="Cambria Math" w:cs="Times New Roman"/>
                        <w:sz w:val="20"/>
                        <w:szCs w:val="20"/>
                      </w:rPr>
                      <m:t>i=1</m:t>
                    </m:r>
                  </m:sub>
                  <m:sup>
                    <m:r>
                      <w:rPr>
                        <w:rFonts w:ascii="Cambria Math" w:hAnsi="Cambria Math" w:cs="Times New Roman"/>
                        <w:sz w:val="20"/>
                        <w:szCs w:val="20"/>
                      </w:rPr>
                      <m:t>k</m:t>
                    </m:r>
                  </m:sup>
                  <m:e>
                    <m:sSub>
                      <m:sSubPr>
                        <m:ctrlPr>
                          <w:rPr>
                            <w:rFonts w:ascii="Cambria Math" w:hAnsi="Cambria Math" w:cs="Times New Roman"/>
                            <w:sz w:val="20"/>
                            <w:szCs w:val="20"/>
                          </w:rPr>
                        </m:ctrlPr>
                      </m:sSubPr>
                      <m:e>
                        <m:r>
                          <w:rPr>
                            <w:rFonts w:ascii="Cambria Math" w:hAnsi="Cambria Math" w:cs="Times New Roman"/>
                            <w:sz w:val="20"/>
                            <w:szCs w:val="20"/>
                          </w:rPr>
                          <m:t>σ</m:t>
                        </m:r>
                      </m:e>
                      <m:sub>
                        <m:r>
                          <w:rPr>
                            <w:rFonts w:ascii="Cambria Math" w:hAnsi="Cambria Math" w:cs="Times New Roman"/>
                            <w:sz w:val="20"/>
                            <w:szCs w:val="20"/>
                          </w:rPr>
                          <m:t>i</m:t>
                        </m:r>
                      </m:sub>
                    </m:sSub>
                  </m:e>
                </m:nary>
              </m:oMath>
            </m:oMathPara>
          </w:p>
        </w:tc>
        <w:tc>
          <w:tcPr>
            <w:tcW w:w="819" w:type="pct"/>
            <w:vAlign w:val="center"/>
          </w:tcPr>
          <w:p w:rsidR="008802B1" w:rsidRPr="008F4B40" w:rsidRDefault="00AC7961" w:rsidP="008802B1">
            <w:pPr>
              <w:spacing w:after="0" w:line="360" w:lineRule="auto"/>
              <w:jc w:val="center"/>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25</w:t>
            </w:r>
          </w:p>
        </w:tc>
      </w:tr>
    </w:tbl>
    <w:p w:rsidR="008802B1" w:rsidRPr="008F4B40" w:rsidRDefault="008802B1" w:rsidP="008802B1">
      <w:pPr>
        <w:autoSpaceDE w:val="0"/>
        <w:autoSpaceDN w:val="0"/>
        <w:adjustRightInd w:val="0"/>
        <w:spacing w:after="0" w:line="360" w:lineRule="auto"/>
        <w:rPr>
          <w:rFonts w:ascii="Palatino Linotype" w:hAnsi="Palatino Linotype" w:cs="Times New Roman"/>
          <w:i/>
          <w:iCs/>
          <w:sz w:val="20"/>
          <w:szCs w:val="20"/>
        </w:rPr>
      </w:pPr>
      <w:r w:rsidRPr="008F4B40">
        <w:rPr>
          <w:rFonts w:ascii="Palatino Linotype" w:hAnsi="Palatino Linotype" w:cs="Times New Roman"/>
          <w:sz w:val="20"/>
          <w:szCs w:val="20"/>
        </w:rPr>
        <w:t xml:space="preserve">Where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iCs/>
          <w:sz w:val="20"/>
          <w:szCs w:val="20"/>
        </w:rPr>
      </w:pPr>
      <w:r w:rsidRPr="008F4B40">
        <w:rPr>
          <w:rFonts w:ascii="Palatino Linotype" w:hAnsi="Palatino Linotype" w:cs="Times New Roman"/>
          <w:b/>
          <w:sz w:val="20"/>
          <w:szCs w:val="20"/>
        </w:rPr>
        <w:t>k</w:t>
      </w:r>
      <w:r w:rsidRPr="008F4B40">
        <w:rPr>
          <w:rFonts w:ascii="Palatino Linotype" w:hAnsi="Palatino Linotype" w:cs="Times New Roman"/>
          <w:sz w:val="20"/>
          <w:szCs w:val="20"/>
        </w:rPr>
        <w:t xml:space="preserve"> is the total number of measured glycerol concentrations</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iCs/>
          <w:sz w:val="20"/>
          <w:szCs w:val="20"/>
        </w:rPr>
      </w:pPr>
      <w:r w:rsidRPr="008F4B40">
        <w:rPr>
          <w:rFonts w:ascii="Palatino Linotype" w:hAnsi="Palatino Linotype" w:cs="Times New Roman"/>
          <w:sz w:val="20"/>
          <w:szCs w:val="20"/>
        </w:rPr>
        <w:lastRenderedPageBreak/>
        <w:t xml:space="preserve">Furthermore, calculation of glycerol concentration from the calibration curve also incurred errors. The standard percentage error of the calibration curve </w:t>
      </w:r>
      <w:r w:rsidRPr="008F4B40">
        <w:rPr>
          <w:rFonts w:ascii="Palatino Linotype" w:hAnsi="Palatino Linotype" w:cs="Times New Roman"/>
          <w:b/>
          <w:sz w:val="20"/>
          <w:szCs w:val="20"/>
        </w:rPr>
        <w:t>ε</w:t>
      </w:r>
      <w:r w:rsidRPr="008F4B40">
        <w:rPr>
          <w:rFonts w:ascii="Palatino Linotype" w:hAnsi="Palatino Linotype" w:cs="Times New Roman"/>
          <w:b/>
          <w:sz w:val="20"/>
          <w:szCs w:val="20"/>
          <w:vertAlign w:val="subscript"/>
        </w:rPr>
        <w:t>cal</w:t>
      </w:r>
      <w:r w:rsidR="00AC7961" w:rsidRPr="008F4B40">
        <w:rPr>
          <w:rFonts w:ascii="Palatino Linotype" w:hAnsi="Palatino Linotype" w:cs="Times New Roman"/>
          <w:sz w:val="20"/>
          <w:szCs w:val="20"/>
        </w:rPr>
        <w:t xml:space="preserve"> is given by Eq.</w:t>
      </w:r>
      <w:r w:rsidRPr="008F4B40">
        <w:rPr>
          <w:rFonts w:ascii="Palatino Linotype" w:hAnsi="Palatino Linotype" w:cs="Times New Roman"/>
          <w:sz w:val="20"/>
          <w:szCs w:val="20"/>
        </w:rPr>
        <w:t>26:</w:t>
      </w:r>
    </w:p>
    <w:tbl>
      <w:tblPr>
        <w:tblW w:w="5000" w:type="pct"/>
        <w:tblLook w:val="04A0" w:firstRow="1" w:lastRow="0" w:firstColumn="1" w:lastColumn="0" w:noHBand="0" w:noVBand="1"/>
      </w:tblPr>
      <w:tblGrid>
        <w:gridCol w:w="8330"/>
        <w:gridCol w:w="1632"/>
      </w:tblGrid>
      <w:tr w:rsidR="008802B1" w:rsidRPr="008F4B40" w:rsidTr="008802B1">
        <w:tc>
          <w:tcPr>
            <w:tcW w:w="4181" w:type="pct"/>
            <w:vAlign w:val="center"/>
          </w:tcPr>
          <w:p w:rsidR="008802B1" w:rsidRPr="008F4B40" w:rsidRDefault="0033302D" w:rsidP="008802B1">
            <w:pPr>
              <w:pStyle w:val="a7"/>
              <w:spacing w:line="360" w:lineRule="auto"/>
              <w:jc w:val="both"/>
              <w:rPr>
                <w:rFonts w:ascii="Palatino Linotype" w:hAnsi="Palatino Linotype" w:cs="Times New Roman"/>
                <w:i/>
                <w:noProof/>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ε</m:t>
                    </m:r>
                  </m:e>
                  <m:sub>
                    <m:r>
                      <w:rPr>
                        <w:rFonts w:ascii="Cambria Math" w:hAnsi="Cambria Math" w:cs="Times New Roman"/>
                        <w:sz w:val="20"/>
                        <w:szCs w:val="20"/>
                      </w:rPr>
                      <m:t>cal</m:t>
                    </m:r>
                  </m:sub>
                </m:sSub>
                <m:r>
                  <w:rPr>
                    <w:rFonts w:ascii="Cambria Math" w:hAnsi="Cambria Math" w:cs="Times New Roman"/>
                    <w:sz w:val="20"/>
                    <w:szCs w:val="20"/>
                  </w:rPr>
                  <m:t>=100%×</m:t>
                </m:r>
                <m:rad>
                  <m:radPr>
                    <m:degHide m:val="1"/>
                    <m:ctrlPr>
                      <w:rPr>
                        <w:rFonts w:ascii="Cambria Math" w:hAnsi="Cambria Math" w:cs="Times New Roman"/>
                        <w:sz w:val="20"/>
                        <w:szCs w:val="20"/>
                      </w:rPr>
                    </m:ctrlPr>
                  </m:radPr>
                  <m:deg/>
                  <m:e>
                    <m:r>
                      <w:rPr>
                        <w:rFonts w:ascii="Cambria Math" w:hAnsi="Cambria Math" w:cs="Times New Roman"/>
                        <w:sz w:val="20"/>
                        <w:szCs w:val="20"/>
                      </w:rPr>
                      <m:t>1-</m:t>
                    </m:r>
                    <m:sSubSup>
                      <m:sSubSupPr>
                        <m:ctrlPr>
                          <w:rPr>
                            <w:rFonts w:ascii="Cambria Math" w:hAnsi="Cambria Math" w:cs="Times New Roman"/>
                            <w:sz w:val="20"/>
                            <w:szCs w:val="20"/>
                          </w:rPr>
                        </m:ctrlPr>
                      </m:sSubSupPr>
                      <m:e>
                        <m:r>
                          <w:rPr>
                            <w:rFonts w:ascii="Cambria Math" w:hAnsi="Cambria Math" w:cs="Times New Roman"/>
                            <w:sz w:val="20"/>
                            <w:szCs w:val="20"/>
                          </w:rPr>
                          <m:t>R</m:t>
                        </m:r>
                      </m:e>
                      <m:sub>
                        <m:r>
                          <w:rPr>
                            <w:rFonts w:ascii="Cambria Math" w:hAnsi="Cambria Math" w:cs="Times New Roman"/>
                            <w:sz w:val="20"/>
                            <w:szCs w:val="20"/>
                          </w:rPr>
                          <m:t>adj</m:t>
                        </m:r>
                      </m:sub>
                      <m:sup>
                        <m:r>
                          <w:rPr>
                            <w:rFonts w:ascii="Cambria Math" w:hAnsi="Cambria Math" w:cs="Times New Roman"/>
                            <w:sz w:val="20"/>
                            <w:szCs w:val="20"/>
                          </w:rPr>
                          <m:t>2</m:t>
                        </m:r>
                      </m:sup>
                    </m:sSubSup>
                  </m:e>
                </m:rad>
              </m:oMath>
            </m:oMathPara>
          </w:p>
        </w:tc>
        <w:tc>
          <w:tcPr>
            <w:tcW w:w="819" w:type="pct"/>
            <w:vAlign w:val="center"/>
          </w:tcPr>
          <w:p w:rsidR="008802B1" w:rsidRPr="008F4B40" w:rsidRDefault="00AC7961" w:rsidP="008802B1">
            <w:pPr>
              <w:spacing w:after="0" w:line="360" w:lineRule="auto"/>
              <w:jc w:val="center"/>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26</w:t>
            </w:r>
          </w:p>
        </w:tc>
      </w:tr>
    </w:tbl>
    <w:p w:rsidR="008802B1" w:rsidRPr="008F4B40" w:rsidRDefault="008802B1" w:rsidP="008802B1">
      <w:pPr>
        <w:autoSpaceDE w:val="0"/>
        <w:autoSpaceDN w:val="0"/>
        <w:adjustRightInd w:val="0"/>
        <w:spacing w:after="0" w:line="360" w:lineRule="auto"/>
        <w:rPr>
          <w:rFonts w:ascii="Palatino Linotype" w:hAnsi="Palatino Linotype" w:cs="Times New Roman"/>
          <w:i/>
          <w:iCs/>
          <w:sz w:val="20"/>
          <w:szCs w:val="20"/>
        </w:rPr>
      </w:pPr>
      <w:r w:rsidRPr="008F4B40">
        <w:rPr>
          <w:rFonts w:ascii="Palatino Linotype" w:hAnsi="Palatino Linotype" w:cs="Times New Roman"/>
          <w:sz w:val="20"/>
          <w:szCs w:val="20"/>
        </w:rPr>
        <w:t xml:space="preserve">Where </w:t>
      </w:r>
      <w:r w:rsidRPr="008F4B40">
        <w:rPr>
          <w:rFonts w:ascii="Palatino Linotype" w:hAnsi="Palatino Linotype" w:cs="Times New Roman"/>
          <w:b/>
          <w:sz w:val="20"/>
          <w:szCs w:val="20"/>
        </w:rPr>
        <w:t>R</w:t>
      </w:r>
      <w:r w:rsidRPr="008F4B40">
        <w:rPr>
          <w:rFonts w:ascii="Palatino Linotype" w:hAnsi="Palatino Linotype" w:cs="Times New Roman"/>
          <w:b/>
          <w:sz w:val="20"/>
          <w:szCs w:val="20"/>
          <w:vertAlign w:val="subscript"/>
        </w:rPr>
        <w:t>adj</w:t>
      </w:r>
      <w:r w:rsidRPr="008F4B40">
        <w:rPr>
          <w:rFonts w:ascii="Palatino Linotype" w:hAnsi="Palatino Linotype" w:cs="Times New Roman"/>
          <w:b/>
          <w:sz w:val="20"/>
          <w:szCs w:val="20"/>
          <w:vertAlign w:val="superscript"/>
        </w:rPr>
        <w:t>2</w:t>
      </w:r>
      <w:r w:rsidRPr="008F4B40">
        <w:rPr>
          <w:rFonts w:ascii="Palatino Linotype" w:hAnsi="Palatino Linotype" w:cs="Times New Roman"/>
          <w:sz w:val="20"/>
          <w:szCs w:val="20"/>
          <w:vertAlign w:val="subscript"/>
        </w:rPr>
        <w:t xml:space="preserve"> </w:t>
      </w:r>
      <w:r w:rsidRPr="008F4B40">
        <w:rPr>
          <w:rFonts w:ascii="Palatino Linotype" w:hAnsi="Palatino Linotype" w:cs="Times New Roman"/>
          <w:sz w:val="20"/>
          <w:szCs w:val="20"/>
        </w:rPr>
        <w:t>is the adjusted coefficient of determination of the calibration curve, which can be calculated as:</w:t>
      </w:r>
    </w:p>
    <w:tbl>
      <w:tblPr>
        <w:tblW w:w="5000" w:type="pct"/>
        <w:tblLook w:val="04A0" w:firstRow="1" w:lastRow="0" w:firstColumn="1" w:lastColumn="0" w:noHBand="0" w:noVBand="1"/>
      </w:tblPr>
      <w:tblGrid>
        <w:gridCol w:w="8330"/>
        <w:gridCol w:w="1632"/>
      </w:tblGrid>
      <w:tr w:rsidR="008802B1" w:rsidRPr="008F4B40" w:rsidTr="008802B1">
        <w:tc>
          <w:tcPr>
            <w:tcW w:w="4181" w:type="pct"/>
            <w:vAlign w:val="center"/>
          </w:tcPr>
          <w:p w:rsidR="008802B1" w:rsidRPr="008F4B40" w:rsidRDefault="0033302D" w:rsidP="008802B1">
            <w:pPr>
              <w:autoSpaceDE w:val="0"/>
              <w:autoSpaceDN w:val="0"/>
              <w:adjustRightInd w:val="0"/>
              <w:spacing w:after="0" w:line="360" w:lineRule="auto"/>
              <w:rPr>
                <w:rFonts w:ascii="Palatino Linotype" w:hAnsi="Palatino Linotype" w:cs="Times New Roman"/>
                <w:i/>
                <w:iCs/>
                <w:sz w:val="20"/>
                <w:szCs w:val="20"/>
              </w:rPr>
            </w:pPr>
            <m:oMathPara>
              <m:oMath>
                <m:sSubSup>
                  <m:sSubSupPr>
                    <m:ctrlPr>
                      <w:rPr>
                        <w:rFonts w:ascii="Cambria Math" w:hAnsi="Cambria Math" w:cs="Times New Roman"/>
                        <w:sz w:val="20"/>
                        <w:szCs w:val="20"/>
                      </w:rPr>
                    </m:ctrlPr>
                  </m:sSubSupPr>
                  <m:e>
                    <m:r>
                      <w:rPr>
                        <w:rFonts w:ascii="Cambria Math" w:hAnsi="Cambria Math" w:cs="Times New Roman"/>
                        <w:sz w:val="20"/>
                        <w:szCs w:val="20"/>
                      </w:rPr>
                      <m:t>R</m:t>
                    </m:r>
                  </m:e>
                  <m:sub>
                    <m:r>
                      <w:rPr>
                        <w:rFonts w:ascii="Cambria Math" w:hAnsi="Cambria Math" w:cs="Times New Roman"/>
                        <w:sz w:val="20"/>
                        <w:szCs w:val="20"/>
                      </w:rPr>
                      <m:t>adj</m:t>
                    </m:r>
                  </m:sub>
                  <m:sup>
                    <m:r>
                      <w:rPr>
                        <w:rFonts w:ascii="Cambria Math" w:hAnsi="Cambria Math" w:cs="Times New Roman"/>
                        <w:sz w:val="20"/>
                        <w:szCs w:val="20"/>
                      </w:rPr>
                      <m:t>2</m:t>
                    </m:r>
                  </m:sup>
                </m:sSubSup>
                <m:r>
                  <w:rPr>
                    <w:rFonts w:ascii="Cambria Math" w:hAnsi="Cambria Math" w:cs="Times New Roman"/>
                    <w:sz w:val="20"/>
                    <w:szCs w:val="20"/>
                  </w:rPr>
                  <m:t>=1-</m:t>
                </m:r>
                <m:f>
                  <m:fPr>
                    <m:ctrlPr>
                      <w:rPr>
                        <w:rFonts w:ascii="Cambria Math" w:hAnsi="Cambria Math" w:cs="Times New Roman"/>
                        <w:sz w:val="20"/>
                        <w:szCs w:val="20"/>
                      </w:rPr>
                    </m:ctrlPr>
                  </m:fPr>
                  <m:num>
                    <m:r>
                      <w:rPr>
                        <w:rFonts w:ascii="Cambria Math" w:hAnsi="Cambria Math" w:cs="Times New Roman"/>
                        <w:sz w:val="20"/>
                        <w:szCs w:val="20"/>
                      </w:rPr>
                      <m:t>(n-1)(1-</m:t>
                    </m:r>
                    <m:sSup>
                      <m:sSupPr>
                        <m:ctrlPr>
                          <w:rPr>
                            <w:rFonts w:ascii="Cambria Math" w:hAnsi="Cambria Math" w:cs="Times New Roman"/>
                            <w:sz w:val="20"/>
                            <w:szCs w:val="20"/>
                          </w:rPr>
                        </m:ctrlPr>
                      </m:sSupPr>
                      <m:e>
                        <m:r>
                          <w:rPr>
                            <w:rFonts w:ascii="Cambria Math" w:hAnsi="Cambria Math" w:cs="Times New Roman"/>
                            <w:sz w:val="20"/>
                            <w:szCs w:val="20"/>
                          </w:rPr>
                          <m:t>R</m:t>
                        </m:r>
                      </m:e>
                      <m:sup>
                        <m:r>
                          <w:rPr>
                            <w:rFonts w:ascii="Cambria Math" w:hAnsi="Cambria Math" w:cs="Times New Roman"/>
                            <w:sz w:val="20"/>
                            <w:szCs w:val="20"/>
                          </w:rPr>
                          <m:t>2</m:t>
                        </m:r>
                      </m:sup>
                    </m:sSup>
                    <m:r>
                      <w:rPr>
                        <w:rFonts w:ascii="Cambria Math" w:hAnsi="Cambria Math" w:cs="Times New Roman"/>
                        <w:sz w:val="20"/>
                        <w:szCs w:val="20"/>
                      </w:rPr>
                      <m:t>)</m:t>
                    </m:r>
                  </m:num>
                  <m:den>
                    <m:r>
                      <w:rPr>
                        <w:rFonts w:ascii="Cambria Math" w:hAnsi="Cambria Math" w:cs="Times New Roman"/>
                        <w:sz w:val="20"/>
                        <w:szCs w:val="20"/>
                      </w:rPr>
                      <m:t>n-p-1</m:t>
                    </m:r>
                  </m:den>
                </m:f>
              </m:oMath>
            </m:oMathPara>
          </w:p>
        </w:tc>
        <w:tc>
          <w:tcPr>
            <w:tcW w:w="819" w:type="pct"/>
            <w:vAlign w:val="center"/>
          </w:tcPr>
          <w:p w:rsidR="008802B1" w:rsidRPr="008F4B40" w:rsidRDefault="00AC7961" w:rsidP="008802B1">
            <w:pPr>
              <w:spacing w:after="0" w:line="360" w:lineRule="auto"/>
              <w:jc w:val="center"/>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27</w:t>
            </w:r>
          </w:p>
        </w:tc>
      </w:tr>
    </w:tbl>
    <w:p w:rsidR="008802B1" w:rsidRPr="008F4B40" w:rsidRDefault="008802B1" w:rsidP="008802B1">
      <w:pPr>
        <w:autoSpaceDE w:val="0"/>
        <w:autoSpaceDN w:val="0"/>
        <w:adjustRightInd w:val="0"/>
        <w:spacing w:after="0" w:line="360" w:lineRule="auto"/>
        <w:rPr>
          <w:rFonts w:ascii="Palatino Linotype" w:hAnsi="Palatino Linotype" w:cs="Times New Roman"/>
          <w:i/>
          <w:iCs/>
          <w:sz w:val="20"/>
          <w:szCs w:val="20"/>
        </w:rPr>
      </w:pPr>
      <w:r w:rsidRPr="008F4B40">
        <w:rPr>
          <w:rFonts w:ascii="Palatino Linotype" w:hAnsi="Palatino Linotype" w:cs="Times New Roman"/>
          <w:sz w:val="20"/>
          <w:szCs w:val="20"/>
        </w:rPr>
        <w:t xml:space="preserve">Where: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iCs/>
          <w:sz w:val="20"/>
          <w:szCs w:val="20"/>
        </w:rPr>
      </w:pPr>
      <w:r w:rsidRPr="008F4B40">
        <w:rPr>
          <w:rFonts w:ascii="Palatino Linotype" w:hAnsi="Palatino Linotype" w:cs="Times New Roman"/>
          <w:b/>
          <w:sz w:val="20"/>
          <w:szCs w:val="20"/>
        </w:rPr>
        <w:t>n</w:t>
      </w:r>
      <w:r w:rsidRPr="008F4B40">
        <w:rPr>
          <w:rFonts w:ascii="Palatino Linotype" w:hAnsi="Palatino Linotype" w:cs="Times New Roman"/>
          <w:sz w:val="20"/>
          <w:szCs w:val="20"/>
        </w:rPr>
        <w:t xml:space="preserve"> is the number of regressors, i.e. the overall number of data points used to generate the calibration </w:t>
      </w:r>
      <w:r w:rsidRPr="008F4B40">
        <w:rPr>
          <w:rFonts w:ascii="Palatino Linotype" w:hAnsi="Palatino Linotype" w:cs="Times New Roman"/>
          <w:noProof/>
          <w:sz w:val="20"/>
          <w:szCs w:val="20"/>
        </w:rPr>
        <w:t>cure</w:t>
      </w:r>
      <w:r w:rsidRPr="008F4B40">
        <w:rPr>
          <w:rFonts w:ascii="Palatino Linotype" w:hAnsi="Palatino Linotype" w:cs="Times New Roman"/>
          <w:sz w:val="20"/>
          <w:szCs w:val="20"/>
        </w:rPr>
        <w:t>.</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iCs/>
          <w:sz w:val="20"/>
          <w:szCs w:val="20"/>
        </w:rPr>
      </w:pPr>
      <w:r w:rsidRPr="008F4B40">
        <w:rPr>
          <w:rFonts w:ascii="Palatino Linotype" w:hAnsi="Palatino Linotype" w:cs="Times New Roman"/>
          <w:b/>
          <w:sz w:val="20"/>
          <w:szCs w:val="20"/>
        </w:rPr>
        <w:t>p</w:t>
      </w:r>
      <w:r w:rsidRPr="008F4B40">
        <w:rPr>
          <w:rFonts w:ascii="Palatino Linotype" w:hAnsi="Palatino Linotype" w:cs="Times New Roman"/>
          <w:sz w:val="20"/>
          <w:szCs w:val="20"/>
        </w:rPr>
        <w:t xml:space="preserve"> is the number of predictors. For a linear calibration curve, p equals 1. </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iCs/>
          <w:sz w:val="20"/>
          <w:szCs w:val="20"/>
        </w:rPr>
      </w:pPr>
      <w:r w:rsidRPr="008F4B40">
        <w:rPr>
          <w:rFonts w:ascii="Palatino Linotype" w:hAnsi="Palatino Linotype" w:cs="Times New Roman"/>
          <w:b/>
          <w:sz w:val="20"/>
          <w:szCs w:val="20"/>
        </w:rPr>
        <w:t>R</w:t>
      </w:r>
      <w:r w:rsidRPr="008F4B40">
        <w:rPr>
          <w:rFonts w:ascii="Palatino Linotype" w:hAnsi="Palatino Linotype" w:cs="Times New Roman"/>
          <w:b/>
          <w:sz w:val="20"/>
          <w:szCs w:val="20"/>
          <w:vertAlign w:val="superscript"/>
        </w:rPr>
        <w:t>2</w:t>
      </w:r>
      <w:r w:rsidRPr="008F4B40">
        <w:rPr>
          <w:rFonts w:ascii="Palatino Linotype" w:hAnsi="Palatino Linotype" w:cs="Times New Roman"/>
          <w:sz w:val="20"/>
          <w:szCs w:val="20"/>
        </w:rPr>
        <w:t xml:space="preserve"> is the original coefficient of determination of the calibration curve.</w:t>
      </w:r>
    </w:p>
    <w:p w:rsidR="008802B1" w:rsidRPr="008F4B40" w:rsidRDefault="008802B1" w:rsidP="008802B1">
      <w:pPr>
        <w:autoSpaceDE w:val="0"/>
        <w:autoSpaceDN w:val="0"/>
        <w:adjustRightInd w:val="0"/>
        <w:spacing w:after="0" w:line="360" w:lineRule="auto"/>
        <w:jc w:val="both"/>
        <w:rPr>
          <w:rFonts w:ascii="Palatino Linotype" w:hAnsi="Palatino Linotype" w:cs="Times New Roman"/>
          <w:i/>
          <w:iCs/>
          <w:sz w:val="20"/>
          <w:szCs w:val="20"/>
        </w:rPr>
      </w:pPr>
      <w:r w:rsidRPr="008F4B40">
        <w:rPr>
          <w:rFonts w:ascii="Palatino Linotype" w:hAnsi="Palatino Linotype" w:cs="Times New Roman"/>
          <w:sz w:val="20"/>
          <w:szCs w:val="20"/>
        </w:rPr>
        <w:t xml:space="preserve">Then, the total error in the glycerol measurement, </w:t>
      </w:r>
      <w:bookmarkStart w:id="78" w:name="OLE_LINK108"/>
      <w:bookmarkStart w:id="79" w:name="OLE_LINK99"/>
      <w:r w:rsidRPr="008F4B40">
        <w:rPr>
          <w:rFonts w:ascii="Palatino Linotype" w:hAnsi="Palatino Linotype" w:cs="Times New Roman"/>
          <w:sz w:val="20"/>
          <w:szCs w:val="20"/>
        </w:rPr>
        <w:t>δ</w:t>
      </w:r>
      <w:bookmarkEnd w:id="78"/>
      <w:bookmarkEnd w:id="79"/>
      <w:r w:rsidRPr="008F4B40">
        <w:rPr>
          <w:rFonts w:ascii="Palatino Linotype" w:hAnsi="Palatino Linotype" w:cs="Times New Roman"/>
          <w:sz w:val="20"/>
          <w:szCs w:val="20"/>
        </w:rPr>
        <w:t>C</w:t>
      </w:r>
      <w:r w:rsidRPr="008F4B40">
        <w:rPr>
          <w:rFonts w:ascii="Palatino Linotype" w:hAnsi="Palatino Linotype" w:cs="Times New Roman"/>
          <w:sz w:val="20"/>
          <w:szCs w:val="20"/>
          <w:vertAlign w:val="subscript"/>
        </w:rPr>
        <w:t>GLY</w:t>
      </w:r>
      <w:r w:rsidR="00C64512" w:rsidRPr="008F4B40">
        <w:rPr>
          <w:rFonts w:ascii="Palatino Linotype" w:hAnsi="Palatino Linotype" w:cs="Times New Roman"/>
          <w:sz w:val="20"/>
          <w:szCs w:val="20"/>
        </w:rPr>
        <w:t>, can be given by Eq.</w:t>
      </w:r>
      <w:r w:rsidRPr="008F4B40">
        <w:rPr>
          <w:rFonts w:ascii="Palatino Linotype" w:hAnsi="Palatino Linotype" w:cs="Times New Roman"/>
          <w:sz w:val="20"/>
          <w:szCs w:val="20"/>
        </w:rPr>
        <w:t xml:space="preserve">28: </w:t>
      </w:r>
    </w:p>
    <w:tbl>
      <w:tblPr>
        <w:tblW w:w="5000" w:type="pct"/>
        <w:tblLook w:val="04A0" w:firstRow="1" w:lastRow="0" w:firstColumn="1" w:lastColumn="0" w:noHBand="0" w:noVBand="1"/>
      </w:tblPr>
      <w:tblGrid>
        <w:gridCol w:w="8330"/>
        <w:gridCol w:w="1632"/>
      </w:tblGrid>
      <w:tr w:rsidR="008802B1" w:rsidRPr="008F4B40" w:rsidTr="008802B1">
        <w:tc>
          <w:tcPr>
            <w:tcW w:w="4181" w:type="pct"/>
            <w:vAlign w:val="center"/>
          </w:tcPr>
          <w:p w:rsidR="008802B1" w:rsidRPr="008F4B40" w:rsidRDefault="008802B1" w:rsidP="008802B1">
            <w:pPr>
              <w:pStyle w:val="a7"/>
              <w:spacing w:line="360" w:lineRule="auto"/>
              <w:jc w:val="both"/>
              <w:rPr>
                <w:rFonts w:ascii="Palatino Linotype" w:hAnsi="Palatino Linotype" w:cs="Times New Roman"/>
                <w:i/>
                <w:noProof/>
                <w:sz w:val="20"/>
                <w:szCs w:val="20"/>
              </w:rPr>
            </w:pPr>
            <m:oMathPara>
              <m:oMath>
                <m:r>
                  <w:rPr>
                    <w:rFonts w:ascii="Cambria Math" w:hAnsi="Cambria Math" w:cs="Times New Roman"/>
                    <w:sz w:val="20"/>
                    <w:szCs w:val="20"/>
                  </w:rPr>
                  <m:t>δ</m:t>
                </m:r>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GLY</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ε</m:t>
                    </m:r>
                  </m:e>
                  <m:sub>
                    <m:r>
                      <w:rPr>
                        <w:rFonts w:ascii="Cambria Math" w:hAnsi="Cambria Math" w:cs="Times New Roman"/>
                        <w:sz w:val="20"/>
                        <w:szCs w:val="20"/>
                      </w:rPr>
                      <m:t>cal</m:t>
                    </m:r>
                  </m:sub>
                </m:sSub>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GLY</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ε</m:t>
                    </m:r>
                  </m:e>
                  <m:sub>
                    <m:r>
                      <w:rPr>
                        <w:rFonts w:ascii="Cambria Math" w:hAnsi="Cambria Math" w:cs="Times New Roman"/>
                        <w:sz w:val="20"/>
                        <w:szCs w:val="20"/>
                      </w:rPr>
                      <m:t>r</m:t>
                    </m:r>
                  </m:sub>
                </m:sSub>
              </m:oMath>
            </m:oMathPara>
          </w:p>
        </w:tc>
        <w:tc>
          <w:tcPr>
            <w:tcW w:w="819" w:type="pct"/>
            <w:vAlign w:val="center"/>
          </w:tcPr>
          <w:p w:rsidR="008802B1" w:rsidRPr="008F4B40" w:rsidRDefault="00AC7961" w:rsidP="008802B1">
            <w:pPr>
              <w:spacing w:after="0" w:line="360" w:lineRule="auto"/>
              <w:jc w:val="center"/>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28</w:t>
            </w:r>
          </w:p>
        </w:tc>
      </w:tr>
    </w:tbl>
    <w:p w:rsidR="008802B1" w:rsidRPr="008F4B40" w:rsidRDefault="008802B1" w:rsidP="008802B1">
      <w:pPr>
        <w:autoSpaceDE w:val="0"/>
        <w:autoSpaceDN w:val="0"/>
        <w:adjustRightInd w:val="0"/>
        <w:spacing w:after="0" w:line="360" w:lineRule="auto"/>
        <w:jc w:val="both"/>
        <w:rPr>
          <w:rFonts w:ascii="Palatino Linotype" w:hAnsi="Palatino Linotype" w:cs="Times New Roman"/>
          <w:i/>
          <w:iCs/>
          <w:sz w:val="20"/>
          <w:szCs w:val="20"/>
        </w:rPr>
      </w:pPr>
      <w:r w:rsidRPr="008F4B40">
        <w:rPr>
          <w:rFonts w:ascii="Palatino Linotype" w:hAnsi="Palatino Linotype" w:cs="Times New Roman"/>
          <w:sz w:val="20"/>
          <w:szCs w:val="20"/>
        </w:rPr>
        <w:t xml:space="preserve">The standard errors of concentration measurements of other metabolites can be derived in a similar manner. Finally, the absolute random error of the metabolic flux </w:t>
      </w:r>
      <w:r w:rsidRPr="008F4B40">
        <w:rPr>
          <w:rFonts w:ascii="Palatino Linotype" w:hAnsi="Palatino Linotype" w:cs="Times New Roman"/>
          <w:noProof/>
          <w:sz w:val="20"/>
          <w:szCs w:val="20"/>
        </w:rPr>
        <w:t>δ</w:t>
      </w:r>
      <w:r w:rsidRPr="008F4B40">
        <w:rPr>
          <w:rFonts w:ascii="Palatino Linotype" w:hAnsi="Palatino Linotype" w:cs="Times New Roman"/>
          <w:b/>
          <w:noProof/>
          <w:sz w:val="20"/>
          <w:szCs w:val="20"/>
        </w:rPr>
        <w:t>V</w:t>
      </w:r>
      <w:r w:rsidRPr="008F4B40">
        <w:rPr>
          <w:rFonts w:ascii="Palatino Linotype" w:hAnsi="Palatino Linotype" w:cs="Times New Roman"/>
          <w:b/>
          <w:noProof/>
          <w:sz w:val="20"/>
          <w:szCs w:val="20"/>
          <w:vertAlign w:val="subscript"/>
        </w:rPr>
        <w:t>met,</w:t>
      </w:r>
      <w:r w:rsidR="00AC7961" w:rsidRPr="008F4B40">
        <w:rPr>
          <w:rFonts w:ascii="Palatino Linotype" w:hAnsi="Palatino Linotype" w:cs="Times New Roman"/>
          <w:sz w:val="20"/>
          <w:szCs w:val="20"/>
        </w:rPr>
        <w:t xml:space="preserve"> can be calculated using Eq.</w:t>
      </w:r>
      <w:r w:rsidRPr="008F4B40">
        <w:rPr>
          <w:rFonts w:ascii="Palatino Linotype" w:hAnsi="Palatino Linotype" w:cs="Times New Roman"/>
          <w:sz w:val="20"/>
          <w:szCs w:val="20"/>
        </w:rPr>
        <w:t>29.</w:t>
      </w:r>
    </w:p>
    <w:tbl>
      <w:tblPr>
        <w:tblW w:w="5000" w:type="pct"/>
        <w:tblLook w:val="04A0" w:firstRow="1" w:lastRow="0" w:firstColumn="1" w:lastColumn="0" w:noHBand="0" w:noVBand="1"/>
      </w:tblPr>
      <w:tblGrid>
        <w:gridCol w:w="8330"/>
        <w:gridCol w:w="1632"/>
      </w:tblGrid>
      <w:tr w:rsidR="008802B1" w:rsidRPr="008F4B40" w:rsidTr="008802B1">
        <w:tc>
          <w:tcPr>
            <w:tcW w:w="4181" w:type="pct"/>
            <w:vAlign w:val="center"/>
          </w:tcPr>
          <w:p w:rsidR="008802B1" w:rsidRPr="008F4B40" w:rsidRDefault="0033302D" w:rsidP="008802B1">
            <w:pPr>
              <w:pStyle w:val="a7"/>
              <w:spacing w:line="360" w:lineRule="auto"/>
              <w:jc w:val="both"/>
              <w:rPr>
                <w:rFonts w:ascii="Palatino Linotype" w:hAnsi="Palatino Linotype" w:cs="Times New Roman"/>
                <w:i/>
                <w:noProof/>
                <w:sz w:val="20"/>
                <w:szCs w:val="20"/>
              </w:rPr>
            </w:pPr>
            <m:oMathPara>
              <m:oMath>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δV</m:t>
                    </m:r>
                  </m:e>
                  <m:sub>
                    <m:r>
                      <w:rPr>
                        <w:rFonts w:ascii="Cambria Math" w:hAnsi="Cambria Math" w:cs="Times New Roman"/>
                        <w:sz w:val="20"/>
                        <w:szCs w:val="20"/>
                        <w:shd w:val="clear" w:color="auto" w:fill="FFFFFF"/>
                      </w:rPr>
                      <m:t>met,t</m:t>
                    </m:r>
                  </m:sub>
                </m:sSub>
                <m:r>
                  <w:rPr>
                    <w:rFonts w:ascii="Cambria Math" w:hAnsi="Cambria Math" w:cs="Times New Roman"/>
                    <w:sz w:val="20"/>
                    <w:szCs w:val="20"/>
                    <w:shd w:val="clear" w:color="auto" w:fill="FFFFFF"/>
                  </w:rPr>
                  <m:t>=</m:t>
                </m:r>
                <m:rad>
                  <m:radPr>
                    <m:degHide m:val="1"/>
                    <m:ctrlPr>
                      <w:rPr>
                        <w:rFonts w:ascii="Cambria Math" w:hAnsi="Cambria Math" w:cs="Times New Roman"/>
                        <w:sz w:val="20"/>
                        <w:szCs w:val="20"/>
                        <w:shd w:val="clear" w:color="auto" w:fill="FFFFFF"/>
                      </w:rPr>
                    </m:ctrlPr>
                  </m:radPr>
                  <m:deg/>
                  <m:e>
                    <m:d>
                      <m:dPr>
                        <m:ctrlPr>
                          <w:rPr>
                            <w:rFonts w:ascii="Cambria Math" w:hAnsi="Cambria Math" w:cs="Times New Roman"/>
                            <w:sz w:val="20"/>
                            <w:szCs w:val="20"/>
                            <w:shd w:val="clear" w:color="auto" w:fill="FFFFFF"/>
                          </w:rPr>
                        </m:ctrlPr>
                      </m:dPr>
                      <m:e>
                        <m:f>
                          <m:fPr>
                            <m:ctrlPr>
                              <w:rPr>
                                <w:rFonts w:ascii="Cambria Math" w:hAnsi="Cambria Math" w:cs="Times New Roman"/>
                                <w:sz w:val="20"/>
                                <w:szCs w:val="20"/>
                                <w:shd w:val="clear" w:color="auto" w:fill="FFFFFF"/>
                              </w:rPr>
                            </m:ctrlPr>
                          </m:fPr>
                          <m:num>
                            <m:r>
                              <w:rPr>
                                <w:rFonts w:ascii="Cambria Math" w:hAnsi="Cambria Math" w:cs="Times New Roman"/>
                                <w:sz w:val="20"/>
                                <w:szCs w:val="20"/>
                                <w:shd w:val="clear" w:color="auto" w:fill="FFFFFF"/>
                              </w:rPr>
                              <m:t>∂</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V</m:t>
                                </m:r>
                              </m:e>
                              <m:sub>
                                <m:r>
                                  <w:rPr>
                                    <w:rFonts w:ascii="Cambria Math" w:hAnsi="Cambria Math" w:cs="Times New Roman"/>
                                    <w:sz w:val="20"/>
                                    <w:szCs w:val="20"/>
                                    <w:shd w:val="clear" w:color="auto" w:fill="FFFFFF"/>
                                  </w:rPr>
                                  <m:t>met,t</m:t>
                                </m:r>
                              </m:sub>
                            </m:sSub>
                          </m:num>
                          <m:den>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met,t+1</m:t>
                                </m:r>
                              </m:sub>
                            </m:sSub>
                          </m:den>
                        </m:f>
                      </m:e>
                    </m:d>
                    <m:sSup>
                      <m:sSupPr>
                        <m:ctrlPr>
                          <w:rPr>
                            <w:rFonts w:ascii="Cambria Math" w:hAnsi="Cambria Math" w:cs="Times New Roman"/>
                            <w:sz w:val="20"/>
                            <w:szCs w:val="20"/>
                            <w:shd w:val="clear" w:color="auto" w:fill="FFFFFF"/>
                          </w:rPr>
                        </m:ctrlPr>
                      </m:sSupPr>
                      <m:e>
                        <m:r>
                          <w:rPr>
                            <w:rFonts w:ascii="Cambria Math" w:hAnsi="Cambria Math" w:cs="Times New Roman"/>
                            <w:sz w:val="20"/>
                            <w:szCs w:val="20"/>
                            <w:shd w:val="clear" w:color="auto" w:fill="FFFFFF"/>
                          </w:rPr>
                          <m:t>∆</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met,t+1</m:t>
                            </m:r>
                          </m:sub>
                        </m:sSub>
                      </m:e>
                      <m:sup>
                        <m:r>
                          <w:rPr>
                            <w:rFonts w:ascii="Cambria Math" w:hAnsi="Cambria Math" w:cs="Times New Roman"/>
                            <w:sz w:val="20"/>
                            <w:szCs w:val="20"/>
                            <w:shd w:val="clear" w:color="auto" w:fill="FFFFFF"/>
                          </w:rPr>
                          <m:t>2</m:t>
                        </m:r>
                      </m:sup>
                    </m:sSup>
                    <m:r>
                      <w:rPr>
                        <w:rFonts w:ascii="Cambria Math" w:hAnsi="Cambria Math" w:cs="Times New Roman"/>
                        <w:sz w:val="20"/>
                        <w:szCs w:val="20"/>
                        <w:shd w:val="clear" w:color="auto" w:fill="FFFFFF"/>
                      </w:rPr>
                      <m:t>+</m:t>
                    </m:r>
                    <m:d>
                      <m:dPr>
                        <m:ctrlPr>
                          <w:rPr>
                            <w:rFonts w:ascii="Cambria Math" w:hAnsi="Cambria Math" w:cs="Times New Roman"/>
                            <w:sz w:val="20"/>
                            <w:szCs w:val="20"/>
                            <w:shd w:val="clear" w:color="auto" w:fill="FFFFFF"/>
                          </w:rPr>
                        </m:ctrlPr>
                      </m:dPr>
                      <m:e>
                        <m:f>
                          <m:fPr>
                            <m:ctrlPr>
                              <w:rPr>
                                <w:rFonts w:ascii="Cambria Math" w:hAnsi="Cambria Math" w:cs="Times New Roman"/>
                                <w:sz w:val="20"/>
                                <w:szCs w:val="20"/>
                                <w:shd w:val="clear" w:color="auto" w:fill="FFFFFF"/>
                              </w:rPr>
                            </m:ctrlPr>
                          </m:fPr>
                          <m:num>
                            <m:r>
                              <w:rPr>
                                <w:rFonts w:ascii="Cambria Math" w:hAnsi="Cambria Math" w:cs="Times New Roman"/>
                                <w:sz w:val="20"/>
                                <w:szCs w:val="20"/>
                                <w:shd w:val="clear" w:color="auto" w:fill="FFFFFF"/>
                              </w:rPr>
                              <m:t>∂</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V</m:t>
                                </m:r>
                              </m:e>
                              <m:sub>
                                <m:r>
                                  <w:rPr>
                                    <w:rFonts w:ascii="Cambria Math" w:hAnsi="Cambria Math" w:cs="Times New Roman"/>
                                    <w:sz w:val="20"/>
                                    <w:szCs w:val="20"/>
                                    <w:shd w:val="clear" w:color="auto" w:fill="FFFFFF"/>
                                  </w:rPr>
                                  <m:t>met,t</m:t>
                                </m:r>
                              </m:sub>
                            </m:sSub>
                          </m:num>
                          <m:den>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met,t-1</m:t>
                                </m:r>
                              </m:sub>
                            </m:sSub>
                          </m:den>
                        </m:f>
                      </m:e>
                    </m:d>
                    <m:sSup>
                      <m:sSupPr>
                        <m:ctrlPr>
                          <w:rPr>
                            <w:rFonts w:ascii="Cambria Math" w:hAnsi="Cambria Math" w:cs="Times New Roman"/>
                            <w:sz w:val="20"/>
                            <w:szCs w:val="20"/>
                            <w:shd w:val="clear" w:color="auto" w:fill="FFFFFF"/>
                          </w:rPr>
                        </m:ctrlPr>
                      </m:sSupPr>
                      <m:e>
                        <m:r>
                          <w:rPr>
                            <w:rFonts w:ascii="Cambria Math" w:hAnsi="Cambria Math" w:cs="Times New Roman"/>
                            <w:sz w:val="20"/>
                            <w:szCs w:val="20"/>
                            <w:shd w:val="clear" w:color="auto" w:fill="FFFFFF"/>
                          </w:rPr>
                          <m:t>∆</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met,t-1</m:t>
                            </m:r>
                          </m:sub>
                        </m:sSub>
                      </m:e>
                      <m:sup>
                        <m:r>
                          <w:rPr>
                            <w:rFonts w:ascii="Cambria Math" w:hAnsi="Cambria Math" w:cs="Times New Roman"/>
                            <w:sz w:val="20"/>
                            <w:szCs w:val="20"/>
                            <w:shd w:val="clear" w:color="auto" w:fill="FFFFFF"/>
                          </w:rPr>
                          <m:t>2</m:t>
                        </m:r>
                      </m:sup>
                    </m:sSup>
                    <m:r>
                      <w:rPr>
                        <w:rFonts w:ascii="Cambria Math" w:hAnsi="Cambria Math" w:cs="Times New Roman"/>
                        <w:sz w:val="20"/>
                        <w:szCs w:val="20"/>
                        <w:shd w:val="clear" w:color="auto" w:fill="FFFFFF"/>
                      </w:rPr>
                      <m:t>+(</m:t>
                    </m:r>
                    <m:f>
                      <m:fPr>
                        <m:ctrlPr>
                          <w:rPr>
                            <w:rFonts w:ascii="Cambria Math" w:hAnsi="Cambria Math" w:cs="Times New Roman"/>
                            <w:sz w:val="20"/>
                            <w:szCs w:val="20"/>
                            <w:shd w:val="clear" w:color="auto" w:fill="FFFFFF"/>
                          </w:rPr>
                        </m:ctrlPr>
                      </m:fPr>
                      <m:num>
                        <m:r>
                          <w:rPr>
                            <w:rFonts w:ascii="Cambria Math" w:hAnsi="Cambria Math" w:cs="Times New Roman"/>
                            <w:sz w:val="20"/>
                            <w:szCs w:val="20"/>
                            <w:shd w:val="clear" w:color="auto" w:fill="FFFFFF"/>
                          </w:rPr>
                          <m:t>∂</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V</m:t>
                            </m:r>
                          </m:e>
                          <m:sub>
                            <m:r>
                              <w:rPr>
                                <w:rFonts w:ascii="Cambria Math" w:hAnsi="Cambria Math" w:cs="Times New Roman"/>
                                <w:sz w:val="20"/>
                                <w:szCs w:val="20"/>
                                <w:shd w:val="clear" w:color="auto" w:fill="FFFFFF"/>
                              </w:rPr>
                              <m:t>met,t</m:t>
                            </m:r>
                          </m:sub>
                        </m:sSub>
                      </m:num>
                      <m:den>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DCW, t</m:t>
                            </m:r>
                          </m:sub>
                        </m:sSub>
                      </m:den>
                    </m:f>
                    <m:r>
                      <w:rPr>
                        <w:rFonts w:ascii="Cambria Math" w:hAnsi="Cambria Math" w:cs="Times New Roman"/>
                        <w:sz w:val="20"/>
                        <w:szCs w:val="20"/>
                        <w:shd w:val="clear" w:color="auto" w:fill="FFFFFF"/>
                      </w:rPr>
                      <m:t>)</m:t>
                    </m:r>
                    <m:sSup>
                      <m:sSupPr>
                        <m:ctrlPr>
                          <w:rPr>
                            <w:rFonts w:ascii="Cambria Math" w:hAnsi="Cambria Math" w:cs="Times New Roman"/>
                            <w:sz w:val="20"/>
                            <w:szCs w:val="20"/>
                            <w:shd w:val="clear" w:color="auto" w:fill="FFFFFF"/>
                          </w:rPr>
                        </m:ctrlPr>
                      </m:sSupPr>
                      <m:e>
                        <m:r>
                          <w:rPr>
                            <w:rFonts w:ascii="Cambria Math" w:hAnsi="Cambria Math" w:cs="Times New Roman"/>
                            <w:sz w:val="20"/>
                            <w:szCs w:val="20"/>
                            <w:shd w:val="clear" w:color="auto" w:fill="FFFFFF"/>
                          </w:rPr>
                          <m:t>∆</m:t>
                        </m:r>
                        <m:sSub>
                          <m:sSubPr>
                            <m:ctrlPr>
                              <w:rPr>
                                <w:rFonts w:ascii="Cambria Math" w:hAnsi="Cambria Math" w:cs="Times New Roman"/>
                                <w:sz w:val="20"/>
                                <w:szCs w:val="20"/>
                                <w:shd w:val="clear" w:color="auto" w:fill="FFFFFF"/>
                              </w:rPr>
                            </m:ctrlPr>
                          </m:sSubPr>
                          <m:e>
                            <m:r>
                              <w:rPr>
                                <w:rFonts w:ascii="Cambria Math" w:hAnsi="Cambria Math" w:cs="Times New Roman"/>
                                <w:sz w:val="20"/>
                                <w:szCs w:val="20"/>
                                <w:shd w:val="clear" w:color="auto" w:fill="FFFFFF"/>
                              </w:rPr>
                              <m:t>C</m:t>
                            </m:r>
                          </m:e>
                          <m:sub>
                            <m:r>
                              <w:rPr>
                                <w:rFonts w:ascii="Cambria Math" w:hAnsi="Cambria Math" w:cs="Times New Roman"/>
                                <w:sz w:val="20"/>
                                <w:szCs w:val="20"/>
                                <w:shd w:val="clear" w:color="auto" w:fill="FFFFFF"/>
                              </w:rPr>
                              <m:t>DCW, t</m:t>
                            </m:r>
                          </m:sub>
                        </m:sSub>
                      </m:e>
                      <m:sup>
                        <m:r>
                          <w:rPr>
                            <w:rFonts w:ascii="Cambria Math" w:hAnsi="Cambria Math" w:cs="Times New Roman"/>
                            <w:sz w:val="20"/>
                            <w:szCs w:val="20"/>
                            <w:shd w:val="clear" w:color="auto" w:fill="FFFFFF"/>
                          </w:rPr>
                          <m:t>2</m:t>
                        </m:r>
                      </m:sup>
                    </m:sSup>
                  </m:e>
                </m:rad>
              </m:oMath>
            </m:oMathPara>
          </w:p>
        </w:tc>
        <w:tc>
          <w:tcPr>
            <w:tcW w:w="819" w:type="pct"/>
            <w:vAlign w:val="center"/>
          </w:tcPr>
          <w:p w:rsidR="008802B1" w:rsidRPr="008F4B40" w:rsidRDefault="00AC7961" w:rsidP="008802B1">
            <w:pPr>
              <w:spacing w:after="0" w:line="360" w:lineRule="auto"/>
              <w:jc w:val="center"/>
              <w:rPr>
                <w:rFonts w:ascii="Palatino Linotype" w:hAnsi="Palatino Linotype" w:cs="Times New Roman"/>
                <w:i/>
                <w:sz w:val="20"/>
                <w:szCs w:val="20"/>
                <w:shd w:val="clear" w:color="auto" w:fill="FFFFFF"/>
              </w:rPr>
            </w:pPr>
            <w:r w:rsidRPr="008F4B40">
              <w:rPr>
                <w:rFonts w:ascii="Palatino Linotype" w:hAnsi="Palatino Linotype" w:cs="Times New Roman"/>
                <w:sz w:val="20"/>
                <w:szCs w:val="20"/>
                <w:shd w:val="clear" w:color="auto" w:fill="FFFFFF"/>
              </w:rPr>
              <w:t>Eq.</w:t>
            </w:r>
            <w:r w:rsidR="008802B1" w:rsidRPr="008F4B40">
              <w:rPr>
                <w:rFonts w:ascii="Palatino Linotype" w:hAnsi="Palatino Linotype" w:cs="Times New Roman"/>
                <w:sz w:val="20"/>
                <w:szCs w:val="20"/>
                <w:shd w:val="clear" w:color="auto" w:fill="FFFFFF"/>
              </w:rPr>
              <w:t>29</w:t>
            </w:r>
          </w:p>
        </w:tc>
      </w:tr>
    </w:tbl>
    <w:p w:rsidR="008802B1" w:rsidRPr="008F4B40" w:rsidRDefault="008802B1" w:rsidP="008802B1">
      <w:pPr>
        <w:autoSpaceDE w:val="0"/>
        <w:autoSpaceDN w:val="0"/>
        <w:adjustRightInd w:val="0"/>
        <w:spacing w:after="0" w:line="360" w:lineRule="auto"/>
        <w:jc w:val="both"/>
        <w:rPr>
          <w:rFonts w:ascii="Palatino Linotype" w:hAnsi="Palatino Linotype" w:cs="Times New Roman"/>
          <w:i/>
          <w:iCs/>
          <w:sz w:val="20"/>
          <w:szCs w:val="20"/>
        </w:rPr>
      </w:pPr>
      <w:r w:rsidRPr="008F4B40">
        <w:rPr>
          <w:rFonts w:ascii="Palatino Linotype" w:hAnsi="Palatino Linotype" w:cs="Times New Roman"/>
          <w:sz w:val="20"/>
          <w:szCs w:val="20"/>
        </w:rPr>
        <w:t xml:space="preserve">Note that the time interval </w:t>
      </w:r>
      <w:r w:rsidRPr="008F4B40">
        <w:rPr>
          <w:rFonts w:ascii="Palatino Linotype" w:hAnsi="Palatino Linotype" w:cs="Times New Roman"/>
          <w:b/>
          <w:sz w:val="20"/>
          <w:szCs w:val="20"/>
        </w:rPr>
        <w:t xml:space="preserve">∆t </w:t>
      </w:r>
      <w:r w:rsidRPr="008F4B40">
        <w:rPr>
          <w:rFonts w:ascii="Palatino Linotype" w:hAnsi="Palatino Linotype" w:cs="Times New Roman"/>
          <w:sz w:val="20"/>
          <w:szCs w:val="20"/>
        </w:rPr>
        <w:t xml:space="preserve">was set equal to 10 hours for the calculation, as choosing a time interval too small would render the error exceptionally large. When performing stoichiometric modelling, the resulting standard deviations were then used to relax the upper and lower bounds of corresponding extracellular fluxes. </w:t>
      </w:r>
    </w:p>
    <w:p w:rsidR="00377EA5" w:rsidRPr="008F4B40" w:rsidRDefault="00377EA5" w:rsidP="008802B1">
      <w:pPr>
        <w:spacing w:after="0"/>
        <w:rPr>
          <w:rFonts w:ascii="Palatino Linotype" w:hAnsi="Palatino Linotype" w:cs="Times New Roman"/>
          <w:sz w:val="20"/>
          <w:szCs w:val="20"/>
        </w:rPr>
      </w:pPr>
    </w:p>
    <w:p w:rsidR="008802B1" w:rsidRPr="008F4B40" w:rsidRDefault="00AC7961" w:rsidP="00AC7961">
      <w:pPr>
        <w:tabs>
          <w:tab w:val="left" w:pos="6435"/>
        </w:tabs>
        <w:spacing w:after="0"/>
        <w:rPr>
          <w:rFonts w:ascii="Palatino Linotype" w:hAnsi="Palatino Linotype" w:cs="Times New Roman"/>
          <w:sz w:val="20"/>
          <w:szCs w:val="20"/>
        </w:rPr>
      </w:pPr>
      <w:r w:rsidRPr="008F4B40">
        <w:rPr>
          <w:rFonts w:ascii="Palatino Linotype" w:hAnsi="Palatino Linotype" w:cs="Times New Roman"/>
          <w:sz w:val="20"/>
          <w:szCs w:val="20"/>
        </w:rPr>
        <w:tab/>
      </w:r>
    </w:p>
    <w:p w:rsidR="008802B1" w:rsidRPr="008F4B40" w:rsidRDefault="008802B1" w:rsidP="008802B1">
      <w:pPr>
        <w:spacing w:after="0"/>
        <w:rPr>
          <w:rFonts w:ascii="Palatino Linotype" w:hAnsi="Palatino Linotype" w:cs="Times New Roman"/>
          <w:b/>
          <w:sz w:val="20"/>
          <w:szCs w:val="20"/>
        </w:rPr>
      </w:pPr>
      <w:bookmarkStart w:id="80" w:name="OLE_LINK31"/>
      <w:bookmarkStart w:id="81" w:name="OLE_LINK32"/>
      <w:r w:rsidRPr="008F4B40">
        <w:rPr>
          <w:rFonts w:ascii="Palatino Linotype" w:hAnsi="Palatino Linotype" w:cs="Times New Roman"/>
          <w:b/>
          <w:sz w:val="20"/>
          <w:szCs w:val="20"/>
        </w:rPr>
        <w:t>References</w:t>
      </w:r>
    </w:p>
    <w:bookmarkEnd w:id="80"/>
    <w:bookmarkEnd w:id="81"/>
    <w:p w:rsidR="0033302D" w:rsidRPr="0033302D" w:rsidRDefault="008802B1"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8F4B40">
        <w:rPr>
          <w:rFonts w:ascii="Palatino Linotype" w:hAnsi="Palatino Linotype" w:cs="Times New Roman"/>
          <w:sz w:val="20"/>
          <w:szCs w:val="20"/>
        </w:rPr>
        <w:fldChar w:fldCharType="begin" w:fldLock="1"/>
      </w:r>
      <w:r w:rsidRPr="008F4B40">
        <w:rPr>
          <w:rFonts w:ascii="Palatino Linotype" w:hAnsi="Palatino Linotype" w:cs="Times New Roman"/>
          <w:sz w:val="20"/>
          <w:szCs w:val="20"/>
        </w:rPr>
        <w:instrText xml:space="preserve">ADDIN Mendeley Bibliography CSL_BIBLIOGRAPHY </w:instrText>
      </w:r>
      <w:r w:rsidRPr="008F4B40">
        <w:rPr>
          <w:rFonts w:ascii="Palatino Linotype" w:hAnsi="Palatino Linotype" w:cs="Times New Roman"/>
          <w:sz w:val="20"/>
          <w:szCs w:val="20"/>
        </w:rPr>
        <w:fldChar w:fldCharType="separate"/>
      </w:r>
      <w:r w:rsidR="0033302D" w:rsidRPr="0033302D">
        <w:rPr>
          <w:rFonts w:ascii="Palatino Linotype" w:hAnsi="Palatino Linotype" w:cs="Times New Roman"/>
          <w:noProof/>
          <w:sz w:val="20"/>
          <w:szCs w:val="24"/>
        </w:rPr>
        <w:t>[1]</w:t>
      </w:r>
      <w:r w:rsidR="0033302D" w:rsidRPr="0033302D">
        <w:rPr>
          <w:rFonts w:ascii="Palatino Linotype" w:hAnsi="Palatino Linotype" w:cs="Times New Roman"/>
          <w:noProof/>
          <w:sz w:val="20"/>
          <w:szCs w:val="24"/>
        </w:rPr>
        <w:tab/>
        <w:t>V. Riis, W. Mai, Gas chromatographic determination microbial biomass after hydrochloric of poly-beta-hydroxybutyric acid propanolysis, J. Chromatogr. 445 (1988) 285–289.</w:t>
      </w:r>
    </w:p>
    <w:p w:rsidR="0033302D" w:rsidRPr="0033302D" w:rsidRDefault="0033302D"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33302D">
        <w:rPr>
          <w:rFonts w:ascii="Palatino Linotype" w:hAnsi="Palatino Linotype" w:cs="Times New Roman"/>
          <w:noProof/>
          <w:sz w:val="20"/>
          <w:szCs w:val="24"/>
        </w:rPr>
        <w:t>[2]</w:t>
      </w:r>
      <w:r w:rsidRPr="0033302D">
        <w:rPr>
          <w:rFonts w:ascii="Palatino Linotype" w:hAnsi="Palatino Linotype" w:cs="Times New Roman"/>
          <w:noProof/>
          <w:sz w:val="20"/>
          <w:szCs w:val="24"/>
        </w:rPr>
        <w:tab/>
        <w:t>UC Santa Barbara, Dissociation Constants of Organic Acids and Bases, (n.d.). https://labs.chem.ucsb.edu/zhang/liming/pdf/pKas_of_Organic_Acids_and_Bases.pdf (accessed February 25, 2015).</w:t>
      </w:r>
    </w:p>
    <w:p w:rsidR="0033302D" w:rsidRPr="0033302D" w:rsidRDefault="0033302D"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33302D">
        <w:rPr>
          <w:rFonts w:ascii="Palatino Linotype" w:hAnsi="Palatino Linotype" w:cs="Times New Roman"/>
          <w:noProof/>
          <w:sz w:val="20"/>
          <w:szCs w:val="24"/>
        </w:rPr>
        <w:t>[3]</w:t>
      </w:r>
      <w:r w:rsidRPr="0033302D">
        <w:rPr>
          <w:rFonts w:ascii="Palatino Linotype" w:hAnsi="Palatino Linotype" w:cs="Times New Roman"/>
          <w:noProof/>
          <w:sz w:val="20"/>
          <w:szCs w:val="24"/>
        </w:rPr>
        <w:tab/>
        <w:t>L.A. Tribe, C.L. Briens, A. Margaritis, Determination of the Volumetric Mass Transfer Coefficient (kLa) Using the Dynamic “Gas Out-Gas In” Method: Analysis of Errors Caused by Dissolved Oxygen Probes, Biotechnol. Bioeng. 46 (1995) 388–392. https://doi.org/10.1002/bit.260460412.</w:t>
      </w:r>
    </w:p>
    <w:p w:rsidR="0033302D" w:rsidRPr="0033302D" w:rsidRDefault="0033302D"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33302D">
        <w:rPr>
          <w:rFonts w:ascii="Palatino Linotype" w:hAnsi="Palatino Linotype" w:cs="Times New Roman"/>
          <w:noProof/>
          <w:sz w:val="20"/>
          <w:szCs w:val="24"/>
        </w:rPr>
        <w:t>[4]</w:t>
      </w:r>
      <w:r w:rsidRPr="0033302D">
        <w:rPr>
          <w:rFonts w:ascii="Palatino Linotype" w:hAnsi="Palatino Linotype" w:cs="Times New Roman"/>
          <w:noProof/>
          <w:sz w:val="20"/>
          <w:szCs w:val="24"/>
        </w:rPr>
        <w:tab/>
        <w:t>F. Garcia-Ochoa, E. Gomez, Bioreactor scale-up and oxygen transfer rate in microbial processes: An overview, Biotechnol. Adv. 27 (2009) 153–176. https://doi.org/10.1016/j.biotechadv.2008.10.006.</w:t>
      </w:r>
    </w:p>
    <w:p w:rsidR="0033302D" w:rsidRPr="0033302D" w:rsidRDefault="0033302D"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33302D">
        <w:rPr>
          <w:rFonts w:ascii="Palatino Linotype" w:hAnsi="Palatino Linotype" w:cs="Times New Roman"/>
          <w:noProof/>
          <w:sz w:val="20"/>
          <w:szCs w:val="24"/>
        </w:rPr>
        <w:lastRenderedPageBreak/>
        <w:t>[5]</w:t>
      </w:r>
      <w:r w:rsidRPr="0033302D">
        <w:rPr>
          <w:rFonts w:ascii="Palatino Linotype" w:hAnsi="Palatino Linotype" w:cs="Times New Roman"/>
          <w:noProof/>
          <w:sz w:val="20"/>
          <w:szCs w:val="24"/>
        </w:rPr>
        <w:tab/>
        <w:t>R. Roberts, J. Kastner, M. Ahmad, W. Tedder, The Effect of Agitation on Oxygen Mass Transfer in a Fermentor, Chem. Eng. Educ. (1992) 142–145.</w:t>
      </w:r>
    </w:p>
    <w:p w:rsidR="0033302D" w:rsidRPr="0033302D" w:rsidRDefault="0033302D"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33302D">
        <w:rPr>
          <w:rFonts w:ascii="Palatino Linotype" w:hAnsi="Palatino Linotype" w:cs="Times New Roman"/>
          <w:noProof/>
          <w:sz w:val="20"/>
          <w:szCs w:val="24"/>
        </w:rPr>
        <w:t>[6]</w:t>
      </w:r>
      <w:r w:rsidRPr="0033302D">
        <w:rPr>
          <w:rFonts w:ascii="Palatino Linotype" w:hAnsi="Palatino Linotype" w:cs="Times New Roman"/>
          <w:noProof/>
          <w:sz w:val="20"/>
          <w:szCs w:val="24"/>
        </w:rPr>
        <w:tab/>
        <w:t>M. Doble, A.K. Kruthiventi, V.G. Gaikar, Stirred Bioreactor, in: Biotransformations and Bioprocesses, 2004: pp. 227–255.</w:t>
      </w:r>
    </w:p>
    <w:p w:rsidR="0033302D" w:rsidRPr="0033302D" w:rsidRDefault="0033302D"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33302D">
        <w:rPr>
          <w:rFonts w:ascii="Palatino Linotype" w:hAnsi="Palatino Linotype" w:cs="Times New Roman"/>
          <w:noProof/>
          <w:sz w:val="20"/>
          <w:szCs w:val="24"/>
        </w:rPr>
        <w:t>[7]</w:t>
      </w:r>
      <w:r w:rsidRPr="0033302D">
        <w:rPr>
          <w:rFonts w:ascii="Palatino Linotype" w:hAnsi="Palatino Linotype" w:cs="Times New Roman"/>
          <w:noProof/>
          <w:sz w:val="20"/>
          <w:szCs w:val="24"/>
        </w:rPr>
        <w:tab/>
        <w:t>J. Niklas, E. Schräder, V. Sandig, T. Noll, E. Heinzle, Quantitative characterization of metabolism and metabolic shifts during growth of the new human cell line AGE1.HN using time resolved metabolic flux analysis., Bioprocess Biosyst. Eng. 34 (2011) 533–45. https://doi.org/10.1007/s00449-010-0502-y.</w:t>
      </w:r>
    </w:p>
    <w:p w:rsidR="0033302D" w:rsidRPr="0033302D" w:rsidRDefault="0033302D"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33302D">
        <w:rPr>
          <w:rFonts w:ascii="Palatino Linotype" w:hAnsi="Palatino Linotype" w:cs="Times New Roman"/>
          <w:noProof/>
          <w:sz w:val="20"/>
          <w:szCs w:val="24"/>
        </w:rPr>
        <w:t>[8]</w:t>
      </w:r>
      <w:r w:rsidRPr="0033302D">
        <w:rPr>
          <w:rFonts w:ascii="Palatino Linotype" w:hAnsi="Palatino Linotype" w:cs="Times New Roman"/>
          <w:noProof/>
          <w:sz w:val="20"/>
          <w:szCs w:val="24"/>
        </w:rPr>
        <w:tab/>
        <w:t>G. Lequeux, J. Beauprez, J. Maertens, E. Van Horen, W. Soetaert, E. Vandamme, P. a Vanrolleghem, Dynamic metabolic flux analysis demonstrated on cultures where the limiting substrate is changed from carbon to nitrogen and vice versa., J. Biomed. Biotechnol. 2010 (2010). https://doi.org/10.1155/2010/621645.</w:t>
      </w:r>
    </w:p>
    <w:p w:rsidR="0033302D" w:rsidRPr="0033302D" w:rsidRDefault="0033302D"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33302D">
        <w:rPr>
          <w:rFonts w:ascii="Palatino Linotype" w:hAnsi="Palatino Linotype" w:cs="Times New Roman"/>
          <w:noProof/>
          <w:sz w:val="20"/>
          <w:szCs w:val="24"/>
        </w:rPr>
        <w:t>[9]</w:t>
      </w:r>
      <w:r w:rsidRPr="0033302D">
        <w:rPr>
          <w:rFonts w:ascii="Palatino Linotype" w:hAnsi="Palatino Linotype" w:cs="Times New Roman"/>
          <w:noProof/>
          <w:sz w:val="20"/>
          <w:szCs w:val="24"/>
        </w:rPr>
        <w:tab/>
        <w:t>F. Llaneras, J. Picó, A procedure for the estimation over time of metabolic fluxes in scenarios where measurements are uncertain and/or insufficient., BMC Bioinformatics. 8 (2007) 421. https://doi.org/10.1186/1471-2105-8-421.</w:t>
      </w:r>
    </w:p>
    <w:p w:rsidR="0033302D" w:rsidRPr="0033302D" w:rsidRDefault="0033302D"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33302D">
        <w:rPr>
          <w:rFonts w:ascii="Palatino Linotype" w:hAnsi="Palatino Linotype" w:cs="Times New Roman"/>
          <w:noProof/>
          <w:sz w:val="20"/>
          <w:szCs w:val="24"/>
        </w:rPr>
        <w:t>[10]</w:t>
      </w:r>
      <w:r w:rsidRPr="0033302D">
        <w:rPr>
          <w:rFonts w:ascii="Palatino Linotype" w:hAnsi="Palatino Linotype" w:cs="Times New Roman"/>
          <w:noProof/>
          <w:sz w:val="20"/>
          <w:szCs w:val="24"/>
        </w:rPr>
        <w:tab/>
        <w:t>O. Henry, A. Kamen, M. Perrier, Monitoring the physiological state of mammalian cell perfusion processes by on-line estimation of intracellular fluxes, J. Process Control. 17 (2007) 241–251.</w:t>
      </w:r>
    </w:p>
    <w:p w:rsidR="0033302D" w:rsidRPr="0033302D" w:rsidRDefault="0033302D" w:rsidP="0033302D">
      <w:pPr>
        <w:autoSpaceDE w:val="0"/>
        <w:autoSpaceDN w:val="0"/>
        <w:adjustRightInd w:val="0"/>
        <w:spacing w:after="0" w:line="240" w:lineRule="auto"/>
        <w:ind w:left="640" w:hanging="640"/>
        <w:rPr>
          <w:rFonts w:ascii="Palatino Linotype" w:hAnsi="Palatino Linotype" w:cs="Times New Roman"/>
          <w:noProof/>
          <w:sz w:val="20"/>
          <w:szCs w:val="24"/>
        </w:rPr>
      </w:pPr>
      <w:r w:rsidRPr="0033302D">
        <w:rPr>
          <w:rFonts w:ascii="Palatino Linotype" w:hAnsi="Palatino Linotype" w:cs="Times New Roman"/>
          <w:noProof/>
          <w:sz w:val="20"/>
          <w:szCs w:val="24"/>
        </w:rPr>
        <w:t>[11]</w:t>
      </w:r>
      <w:r w:rsidRPr="0033302D">
        <w:rPr>
          <w:rFonts w:ascii="Palatino Linotype" w:hAnsi="Palatino Linotype" w:cs="Times New Roman"/>
          <w:noProof/>
          <w:sz w:val="20"/>
          <w:szCs w:val="24"/>
        </w:rPr>
        <w:tab/>
        <w:t>M. Lopar, I.V. Spoljarić, N. Cepanec, M. Koller, G. Braunegg, P. Horvat, Study of metabolic network of Cupriavidus necator DSM 545 growing on glycerol by applying elementary flux modes and yield space analysis., J Ind Microbiol Biotechnol. (2014). https://doi.org/10.1007/s10295-014-1439-y.</w:t>
      </w:r>
    </w:p>
    <w:p w:rsidR="0033302D" w:rsidRPr="0033302D" w:rsidRDefault="0033302D" w:rsidP="0033302D">
      <w:pPr>
        <w:autoSpaceDE w:val="0"/>
        <w:autoSpaceDN w:val="0"/>
        <w:adjustRightInd w:val="0"/>
        <w:spacing w:after="0" w:line="240" w:lineRule="auto"/>
        <w:ind w:left="640" w:hanging="640"/>
        <w:rPr>
          <w:rFonts w:ascii="Palatino Linotype" w:hAnsi="Palatino Linotype"/>
          <w:noProof/>
          <w:sz w:val="20"/>
        </w:rPr>
      </w:pPr>
      <w:r w:rsidRPr="0033302D">
        <w:rPr>
          <w:rFonts w:ascii="Palatino Linotype" w:hAnsi="Palatino Linotype" w:cs="Times New Roman"/>
          <w:noProof/>
          <w:sz w:val="20"/>
          <w:szCs w:val="24"/>
        </w:rPr>
        <w:t>[12]</w:t>
      </w:r>
      <w:r w:rsidRPr="0033302D">
        <w:rPr>
          <w:rFonts w:ascii="Palatino Linotype" w:hAnsi="Palatino Linotype" w:cs="Times New Roman"/>
          <w:noProof/>
          <w:sz w:val="20"/>
          <w:szCs w:val="24"/>
        </w:rPr>
        <w:tab/>
        <w:t>L. Prichard, V. Barwick, Preparation of Calibration Curves: A Guide to Best Practice, Lgc. (2003) 1–27.</w:t>
      </w:r>
    </w:p>
    <w:p w:rsidR="008802B1" w:rsidRDefault="008802B1" w:rsidP="00AC7961">
      <w:pPr>
        <w:widowControl w:val="0"/>
        <w:autoSpaceDE w:val="0"/>
        <w:autoSpaceDN w:val="0"/>
        <w:adjustRightInd w:val="0"/>
        <w:spacing w:after="0" w:line="240" w:lineRule="auto"/>
        <w:ind w:left="640" w:hanging="640"/>
        <w:rPr>
          <w:rFonts w:ascii="Palatino Linotype" w:hAnsi="Palatino Linotype" w:cs="Times New Roman"/>
          <w:sz w:val="20"/>
          <w:szCs w:val="20"/>
        </w:rPr>
      </w:pPr>
      <w:r w:rsidRPr="008F4B40">
        <w:rPr>
          <w:rFonts w:ascii="Palatino Linotype" w:hAnsi="Palatino Linotype" w:cs="Times New Roman"/>
          <w:sz w:val="20"/>
          <w:szCs w:val="20"/>
        </w:rPr>
        <w:fldChar w:fldCharType="end"/>
      </w:r>
    </w:p>
    <w:p w:rsidR="00FD02D4" w:rsidRDefault="00FD02D4" w:rsidP="00AC7961">
      <w:pPr>
        <w:widowControl w:val="0"/>
        <w:autoSpaceDE w:val="0"/>
        <w:autoSpaceDN w:val="0"/>
        <w:adjustRightInd w:val="0"/>
        <w:spacing w:after="0" w:line="240" w:lineRule="auto"/>
        <w:ind w:left="640" w:hanging="640"/>
        <w:rPr>
          <w:rFonts w:ascii="Palatino Linotype" w:hAnsi="Palatino Linotype" w:cs="Times New Roman"/>
          <w:sz w:val="20"/>
          <w:szCs w:val="20"/>
        </w:rPr>
      </w:pPr>
    </w:p>
    <w:p w:rsidR="00FD02D4" w:rsidRPr="008F4B40" w:rsidRDefault="00FD02D4" w:rsidP="00FD02D4">
      <w:pPr>
        <w:pStyle w:val="2"/>
        <w:spacing w:before="0" w:line="240" w:lineRule="auto"/>
        <w:rPr>
          <w:rFonts w:ascii="Palatino Linotype" w:hAnsi="Palatino Linotype" w:cs="Times New Roman"/>
          <w:color w:val="auto"/>
          <w:sz w:val="20"/>
          <w:szCs w:val="20"/>
        </w:rPr>
      </w:pPr>
      <w:bookmarkStart w:id="82" w:name="_Toc38967974"/>
      <w:r>
        <w:rPr>
          <w:rFonts w:ascii="Palatino Linotype" w:hAnsi="Palatino Linotype" w:cs="Times New Roman"/>
          <w:color w:val="auto"/>
          <w:sz w:val="20"/>
          <w:szCs w:val="20"/>
        </w:rPr>
        <w:t>Appendix</w:t>
      </w:r>
      <w:bookmarkEnd w:id="82"/>
    </w:p>
    <w:p w:rsidR="00FD02D4" w:rsidRPr="00FD02D4" w:rsidRDefault="00FD02D4" w:rsidP="00FD02D4">
      <w:pPr>
        <w:pStyle w:val="3"/>
        <w:rPr>
          <w:rFonts w:ascii="Palatino Linotype" w:hAnsi="Palatino Linotype"/>
          <w:color w:val="000000" w:themeColor="text1"/>
          <w:sz w:val="20"/>
          <w:szCs w:val="20"/>
        </w:rPr>
      </w:pPr>
      <w:bookmarkStart w:id="83" w:name="OLE_LINK3"/>
      <w:bookmarkStart w:id="84" w:name="OLE_LINK4"/>
      <w:bookmarkStart w:id="85" w:name="_Toc38967975"/>
      <w:r>
        <w:rPr>
          <w:rFonts w:ascii="Palatino Linotype" w:hAnsi="Palatino Linotype"/>
          <w:color w:val="000000" w:themeColor="text1"/>
          <w:sz w:val="20"/>
          <w:szCs w:val="20"/>
        </w:rPr>
        <w:t>A1.</w:t>
      </w:r>
      <w:bookmarkEnd w:id="83"/>
      <w:bookmarkEnd w:id="84"/>
      <w:r>
        <w:rPr>
          <w:rFonts w:ascii="Palatino Linotype" w:hAnsi="Palatino Linotype"/>
          <w:color w:val="000000" w:themeColor="text1"/>
          <w:sz w:val="20"/>
          <w:szCs w:val="20"/>
        </w:rPr>
        <w:t xml:space="preserve"> </w:t>
      </w:r>
      <w:r w:rsidRPr="00FD02D4">
        <w:rPr>
          <w:rFonts w:ascii="Palatino Linotype" w:hAnsi="Palatino Linotype"/>
          <w:color w:val="000000" w:themeColor="text1"/>
          <w:sz w:val="20"/>
          <w:szCs w:val="20"/>
        </w:rPr>
        <w:t>Raw data used in kLa calculation</w:t>
      </w:r>
      <w:bookmarkStart w:id="86" w:name="_Raw_data_used"/>
      <w:bookmarkEnd w:id="85"/>
      <w:bookmarkEnd w:id="86"/>
    </w:p>
    <w:tbl>
      <w:tblPr>
        <w:tblStyle w:val="af1"/>
        <w:tblW w:w="7320" w:type="dxa"/>
        <w:jc w:val="center"/>
        <w:tblLook w:val="04A0" w:firstRow="1" w:lastRow="0" w:firstColumn="1" w:lastColumn="0" w:noHBand="0" w:noVBand="1"/>
      </w:tblPr>
      <w:tblGrid>
        <w:gridCol w:w="1080"/>
        <w:gridCol w:w="1080"/>
        <w:gridCol w:w="1640"/>
        <w:gridCol w:w="1360"/>
        <w:gridCol w:w="1080"/>
        <w:gridCol w:w="1080"/>
      </w:tblGrid>
      <w:tr w:rsidR="00FD02D4" w:rsidRPr="00FD02D4" w:rsidTr="0033302D">
        <w:trPr>
          <w:trHeight w:val="300"/>
          <w:jc w:val="center"/>
        </w:trPr>
        <w:tc>
          <w:tcPr>
            <w:tcW w:w="1080" w:type="dxa"/>
            <w:noWrap/>
            <w:vAlign w:val="center"/>
            <w:hideMark/>
          </w:tcPr>
          <w:p w:rsidR="00FD02D4" w:rsidRPr="00FD02D4" w:rsidRDefault="00FD02D4" w:rsidP="0033302D">
            <w:pPr>
              <w:spacing w:after="0" w:line="240" w:lineRule="auto"/>
              <w:jc w:val="center"/>
              <w:rPr>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Agitation speed</w:t>
            </w:r>
          </w:p>
        </w:tc>
        <w:tc>
          <w:tcPr>
            <w:tcW w:w="1080" w:type="dxa"/>
            <w:vAlign w:val="center"/>
          </w:tcPr>
          <w:p w:rsidR="00FD02D4" w:rsidRPr="00FD02D4" w:rsidRDefault="00FD02D4" w:rsidP="0033302D">
            <w:pPr>
              <w:spacing w:after="0" w:line="240" w:lineRule="auto"/>
              <w:jc w:val="center"/>
              <w:rPr>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Aeration rate</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bookmarkStart w:id="87" w:name="OLE_LINK315"/>
            <w:bookmarkStart w:id="88" w:name="OLE_LINK318"/>
            <w:r w:rsidRPr="00FD02D4">
              <w:rPr>
                <w:rFonts w:ascii="Palatino Linotype" w:eastAsia="Times New Roman" w:hAnsi="Palatino Linotype" w:cs="Times New Roman"/>
                <w:noProof/>
                <w:color w:val="000000" w:themeColor="text1"/>
                <w:sz w:val="20"/>
                <w:szCs w:val="20"/>
              </w:rPr>
              <w:t>C</w:t>
            </w:r>
            <w:r w:rsidRPr="00FD02D4">
              <w:rPr>
                <w:rFonts w:ascii="Palatino Linotype" w:eastAsia="Times New Roman" w:hAnsi="Palatino Linotype" w:cs="Times New Roman"/>
                <w:noProof/>
                <w:color w:val="000000" w:themeColor="text1"/>
                <w:sz w:val="20"/>
                <w:szCs w:val="20"/>
                <w:vertAlign w:val="subscript"/>
              </w:rPr>
              <w:t>Steady</w:t>
            </w:r>
            <w:r w:rsidRPr="00FD02D4">
              <w:rPr>
                <w:rFonts w:ascii="Palatino Linotype" w:eastAsia="Times New Roman" w:hAnsi="Palatino Linotype" w:cs="Times New Roman"/>
                <w:color w:val="000000" w:themeColor="text1"/>
                <w:sz w:val="20"/>
                <w:szCs w:val="20"/>
                <w:vertAlign w:val="subscript"/>
              </w:rPr>
              <w:t>-State</w:t>
            </w:r>
            <w:bookmarkEnd w:id="87"/>
            <w:bookmarkEnd w:id="88"/>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bookmarkStart w:id="89" w:name="OLE_LINK243"/>
            <w:r w:rsidRPr="00FD02D4">
              <w:rPr>
                <w:rFonts w:ascii="Palatino Linotype" w:eastAsia="Times New Roman" w:hAnsi="Palatino Linotype" w:cs="Times New Roman"/>
                <w:noProof/>
                <w:color w:val="000000" w:themeColor="text1"/>
                <w:sz w:val="20"/>
                <w:szCs w:val="20"/>
              </w:rPr>
              <w:t>C</w:t>
            </w:r>
            <w:r w:rsidRPr="00FD02D4">
              <w:rPr>
                <w:rFonts w:ascii="Palatino Linotype" w:eastAsia="Times New Roman" w:hAnsi="Palatino Linotype" w:cs="Times New Roman"/>
                <w:noProof/>
                <w:color w:val="000000" w:themeColor="text1"/>
                <w:sz w:val="20"/>
                <w:szCs w:val="20"/>
                <w:vertAlign w:val="subscript"/>
              </w:rPr>
              <w:t>Saturated</w:t>
            </w:r>
            <w:r w:rsidRPr="00FD02D4">
              <w:rPr>
                <w:rFonts w:ascii="Palatino Linotype" w:eastAsia="Times New Roman" w:hAnsi="Palatino Linotype" w:cs="Times New Roman"/>
                <w:color w:val="000000" w:themeColor="text1"/>
                <w:sz w:val="20"/>
                <w:szCs w:val="20"/>
              </w:rPr>
              <w:t xml:space="preserve"> </w:t>
            </w:r>
            <w:bookmarkEnd w:id="89"/>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OUR</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noProof/>
                <w:color w:val="000000" w:themeColor="text1"/>
                <w:sz w:val="20"/>
                <w:szCs w:val="20"/>
              </w:rPr>
              <w:t>kLa</w:t>
            </w:r>
          </w:p>
        </w:tc>
      </w:tr>
      <w:tr w:rsidR="00FD02D4" w:rsidRPr="00FD02D4" w:rsidTr="0033302D">
        <w:trPr>
          <w:trHeight w:val="345"/>
          <w:jc w:val="center"/>
        </w:trPr>
        <w:tc>
          <w:tcPr>
            <w:tcW w:w="1080" w:type="dxa"/>
            <w:noWrap/>
            <w:vAlign w:val="center"/>
            <w:hideMark/>
          </w:tcPr>
          <w:p w:rsidR="00FD02D4" w:rsidRPr="00FD02D4" w:rsidRDefault="00FD02D4" w:rsidP="0033302D">
            <w:pPr>
              <w:spacing w:after="0" w:line="240" w:lineRule="auto"/>
              <w:jc w:val="center"/>
              <w:rPr>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rpm</w:t>
            </w:r>
          </w:p>
        </w:tc>
        <w:tc>
          <w:tcPr>
            <w:tcW w:w="1080" w:type="dxa"/>
            <w:noWrap/>
            <w:vAlign w:val="center"/>
            <w:hideMark/>
          </w:tcPr>
          <w:p w:rsidR="00FD02D4" w:rsidRPr="00FD02D4" w:rsidRDefault="00FD02D4" w:rsidP="0033302D">
            <w:pPr>
              <w:spacing w:after="0" w:line="240" w:lineRule="auto"/>
              <w:jc w:val="center"/>
              <w:rPr>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vvm</w:t>
            </w:r>
          </w:p>
        </w:tc>
        <w:tc>
          <w:tcPr>
            <w:tcW w:w="3000" w:type="dxa"/>
            <w:gridSpan w:val="2"/>
            <w:noWrap/>
            <w:vAlign w:val="center"/>
            <w:hideMark/>
          </w:tcPr>
          <w:p w:rsidR="00FD02D4" w:rsidRPr="00FD02D4" w:rsidRDefault="00FD02D4" w:rsidP="0033302D">
            <w:pPr>
              <w:spacing w:after="0" w:line="240" w:lineRule="auto"/>
              <w:jc w:val="center"/>
              <w:rPr>
                <w:rFonts w:ascii="Palatino Linotype"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min</w:t>
            </w:r>
            <w:r w:rsidRPr="00FD02D4">
              <w:rPr>
                <w:rFonts w:ascii="Palatino Linotype" w:eastAsia="Times New Roman" w:hAnsi="Palatino Linotype" w:cs="Times New Roman"/>
                <w:color w:val="000000" w:themeColor="text1"/>
                <w:sz w:val="20"/>
                <w:szCs w:val="20"/>
                <w:vertAlign w:val="superscript"/>
              </w:rPr>
              <w:t>-1</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min</w:t>
            </w:r>
            <w:r w:rsidRPr="00FD02D4">
              <w:rPr>
                <w:rFonts w:ascii="Palatino Linotype" w:eastAsia="Times New Roman" w:hAnsi="Palatino Linotype" w:cs="Times New Roman"/>
                <w:color w:val="000000" w:themeColor="text1"/>
                <w:sz w:val="20"/>
                <w:szCs w:val="20"/>
                <w:vertAlign w:val="superscript"/>
              </w:rPr>
              <w:t>-1</w:t>
            </w:r>
          </w:p>
        </w:tc>
      </w:tr>
      <w:tr w:rsidR="00FD02D4" w:rsidRPr="00FD02D4" w:rsidTr="0033302D">
        <w:trPr>
          <w:trHeight w:val="300"/>
          <w:jc w:val="center"/>
        </w:trPr>
        <w:tc>
          <w:tcPr>
            <w:tcW w:w="1080" w:type="dxa"/>
            <w:vMerge w:val="restart"/>
            <w:noWrap/>
            <w:vAlign w:val="center"/>
            <w:hideMark/>
          </w:tcPr>
          <w:p w:rsidR="00FD02D4" w:rsidRPr="00FD02D4" w:rsidRDefault="00FD02D4" w:rsidP="0033302D">
            <w:pPr>
              <w:spacing w:after="0" w:line="240" w:lineRule="auto"/>
              <w:jc w:val="center"/>
              <w:rPr>
                <w:rFonts w:ascii="Palatino Linotype"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220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0.2</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15.74</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2.48</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0.081</w:t>
            </w:r>
          </w:p>
        </w:tc>
      </w:tr>
      <w:tr w:rsidR="00FD02D4" w:rsidRPr="00FD02D4" w:rsidTr="0033302D">
        <w:trPr>
          <w:trHeight w:val="300"/>
          <w:jc w:val="center"/>
        </w:trPr>
        <w:tc>
          <w:tcPr>
            <w:tcW w:w="1080" w:type="dxa"/>
            <w:vMerge/>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0.8</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16.27</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3.01</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0.100</w:t>
            </w:r>
          </w:p>
        </w:tc>
      </w:tr>
      <w:tr w:rsidR="00FD02D4" w:rsidRPr="00FD02D4" w:rsidTr="0033302D">
        <w:trPr>
          <w:trHeight w:val="300"/>
          <w:jc w:val="center"/>
        </w:trPr>
        <w:tc>
          <w:tcPr>
            <w:tcW w:w="1080" w:type="dxa"/>
            <w:vMerge/>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16.33</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3.31</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0.110</w:t>
            </w:r>
          </w:p>
        </w:tc>
      </w:tr>
      <w:tr w:rsidR="00FD02D4" w:rsidRPr="00FD02D4" w:rsidTr="0033302D">
        <w:trPr>
          <w:trHeight w:val="300"/>
          <w:jc w:val="center"/>
        </w:trPr>
        <w:tc>
          <w:tcPr>
            <w:tcW w:w="1080" w:type="dxa"/>
            <w:vMerge w:val="restart"/>
            <w:noWrap/>
            <w:vAlign w:val="center"/>
            <w:hideMark/>
          </w:tcPr>
          <w:p w:rsidR="00FD02D4" w:rsidRPr="00FD02D4" w:rsidRDefault="00FD02D4" w:rsidP="0033302D">
            <w:pPr>
              <w:spacing w:after="0" w:line="240" w:lineRule="auto"/>
              <w:jc w:val="center"/>
              <w:rPr>
                <w:rFonts w:ascii="Palatino Linotype"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260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0.2</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16.37</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3.99</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0.133</w:t>
            </w:r>
          </w:p>
        </w:tc>
      </w:tr>
      <w:tr w:rsidR="00FD02D4" w:rsidRPr="00FD02D4" w:rsidTr="0033302D">
        <w:trPr>
          <w:trHeight w:val="300"/>
          <w:jc w:val="center"/>
        </w:trPr>
        <w:tc>
          <w:tcPr>
            <w:tcW w:w="1080" w:type="dxa"/>
            <w:vMerge/>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0.4</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17.45</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7.27</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0.252</w:t>
            </w:r>
          </w:p>
        </w:tc>
      </w:tr>
      <w:tr w:rsidR="00FD02D4" w:rsidRPr="00FD02D4" w:rsidTr="0033302D">
        <w:trPr>
          <w:trHeight w:val="300"/>
          <w:jc w:val="center"/>
        </w:trPr>
        <w:tc>
          <w:tcPr>
            <w:tcW w:w="1080" w:type="dxa"/>
            <w:vMerge/>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0.6</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21.05</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12.01</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0.476</w:t>
            </w:r>
          </w:p>
        </w:tc>
      </w:tr>
      <w:tr w:rsidR="00FD02D4" w:rsidRPr="00FD02D4" w:rsidTr="0033302D">
        <w:trPr>
          <w:trHeight w:val="300"/>
          <w:jc w:val="center"/>
        </w:trPr>
        <w:tc>
          <w:tcPr>
            <w:tcW w:w="1080" w:type="dxa"/>
            <w:vMerge/>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0.8</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25.29</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18.49</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0.880</w:t>
            </w:r>
          </w:p>
        </w:tc>
      </w:tr>
      <w:tr w:rsidR="00FD02D4" w:rsidRPr="00FD02D4" w:rsidTr="0033302D">
        <w:trPr>
          <w:trHeight w:val="300"/>
          <w:jc w:val="center"/>
        </w:trPr>
        <w:tc>
          <w:tcPr>
            <w:tcW w:w="1080" w:type="dxa"/>
            <w:vMerge w:val="restart"/>
            <w:noWrap/>
            <w:vAlign w:val="center"/>
            <w:hideMark/>
          </w:tcPr>
          <w:p w:rsidR="00FD02D4" w:rsidRPr="00FD02D4" w:rsidRDefault="00FD02D4" w:rsidP="0033302D">
            <w:pPr>
              <w:spacing w:after="0" w:line="240" w:lineRule="auto"/>
              <w:jc w:val="center"/>
              <w:rPr>
                <w:rFonts w:ascii="Palatino Linotype"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300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0.2</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16.66</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4.88</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0.165</w:t>
            </w:r>
          </w:p>
        </w:tc>
      </w:tr>
      <w:tr w:rsidR="00FD02D4" w:rsidRPr="00FD02D4" w:rsidTr="0033302D">
        <w:trPr>
          <w:trHeight w:val="300"/>
          <w:jc w:val="center"/>
        </w:trPr>
        <w:tc>
          <w:tcPr>
            <w:tcW w:w="1080" w:type="dxa"/>
            <w:vMerge/>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0.4</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18.65</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9.67</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0.350</w:t>
            </w:r>
          </w:p>
        </w:tc>
      </w:tr>
      <w:tr w:rsidR="00FD02D4" w:rsidRPr="00FD02D4" w:rsidTr="0033302D">
        <w:trPr>
          <w:trHeight w:val="300"/>
          <w:jc w:val="center"/>
        </w:trPr>
        <w:tc>
          <w:tcPr>
            <w:tcW w:w="1080" w:type="dxa"/>
            <w:vMerge/>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0.6</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25.23</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17.35</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0.823</w:t>
            </w:r>
          </w:p>
        </w:tc>
      </w:tr>
      <w:tr w:rsidR="00FD02D4" w:rsidRPr="00FD02D4" w:rsidTr="0033302D">
        <w:trPr>
          <w:trHeight w:val="300"/>
          <w:jc w:val="center"/>
        </w:trPr>
        <w:tc>
          <w:tcPr>
            <w:tcW w:w="1080" w:type="dxa"/>
            <w:vMerge/>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0.8</w:t>
            </w:r>
          </w:p>
        </w:tc>
        <w:tc>
          <w:tcPr>
            <w:tcW w:w="164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29.73</w:t>
            </w:r>
          </w:p>
        </w:tc>
        <w:tc>
          <w:tcPr>
            <w:tcW w:w="136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46.30</w:t>
            </w:r>
          </w:p>
        </w:tc>
        <w:tc>
          <w:tcPr>
            <w:tcW w:w="1080" w:type="dxa"/>
            <w:noWrap/>
            <w:vAlign w:val="center"/>
            <w:hideMark/>
          </w:tcPr>
          <w:p w:rsidR="00FD02D4" w:rsidRPr="00FD02D4" w:rsidRDefault="00FD02D4" w:rsidP="0033302D">
            <w:pPr>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30.34</w:t>
            </w:r>
          </w:p>
        </w:tc>
        <w:tc>
          <w:tcPr>
            <w:tcW w:w="1080" w:type="dxa"/>
            <w:noWrap/>
            <w:vAlign w:val="center"/>
            <w:hideMark/>
          </w:tcPr>
          <w:p w:rsidR="00FD02D4" w:rsidRPr="00FD02D4" w:rsidRDefault="00FD02D4" w:rsidP="0033302D">
            <w:pPr>
              <w:keepNext/>
              <w:spacing w:after="0" w:line="240" w:lineRule="auto"/>
              <w:jc w:val="center"/>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1.831</w:t>
            </w:r>
          </w:p>
        </w:tc>
      </w:tr>
      <w:tr w:rsidR="00FD02D4" w:rsidRPr="00FD02D4" w:rsidTr="0033302D">
        <w:trPr>
          <w:trHeight w:val="300"/>
          <w:jc w:val="center"/>
        </w:trPr>
        <w:tc>
          <w:tcPr>
            <w:tcW w:w="7320" w:type="dxa"/>
            <w:gridSpan w:val="6"/>
            <w:noWrap/>
            <w:vAlign w:val="center"/>
          </w:tcPr>
          <w:p w:rsidR="00FD02D4" w:rsidRPr="00FD02D4" w:rsidRDefault="00FD02D4" w:rsidP="0033302D">
            <w:pPr>
              <w:keepNext/>
              <w:spacing w:after="0" w:line="240" w:lineRule="auto"/>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lastRenderedPageBreak/>
              <w:t>Culture broth data</w:t>
            </w:r>
          </w:p>
          <w:p w:rsidR="00FD02D4" w:rsidRPr="00FD02D4" w:rsidRDefault="00FD02D4" w:rsidP="0033302D">
            <w:pPr>
              <w:keepNext/>
              <w:spacing w:after="0" w:line="240" w:lineRule="auto"/>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Fermentation time: 78 hours</w:t>
            </w:r>
          </w:p>
          <w:p w:rsidR="00FD02D4" w:rsidRPr="00FD02D4" w:rsidRDefault="00FD02D4" w:rsidP="0033302D">
            <w:pPr>
              <w:keepNext/>
              <w:spacing w:after="0" w:line="240" w:lineRule="auto"/>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TDW concentration: 9.06 g/l</w:t>
            </w:r>
          </w:p>
          <w:p w:rsidR="00FD02D4" w:rsidRPr="00FD02D4" w:rsidRDefault="00FD02D4" w:rsidP="0033302D">
            <w:pPr>
              <w:keepNext/>
              <w:spacing w:after="0" w:line="240" w:lineRule="auto"/>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pH: 5.59</w:t>
            </w:r>
          </w:p>
          <w:p w:rsidR="00FD02D4" w:rsidRPr="00FD02D4" w:rsidRDefault="00FD02D4" w:rsidP="0033302D">
            <w:pPr>
              <w:keepNext/>
              <w:spacing w:after="0" w:line="240" w:lineRule="auto"/>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Temperature: 30 °C</w:t>
            </w:r>
          </w:p>
          <w:p w:rsidR="00FD02D4" w:rsidRPr="00FD02D4" w:rsidRDefault="00FD02D4" w:rsidP="0033302D">
            <w:pPr>
              <w:keepNext/>
              <w:spacing w:after="0" w:line="240" w:lineRule="auto"/>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Glycerol concentration: 6.34 g/l</w:t>
            </w:r>
          </w:p>
          <w:p w:rsidR="00FD02D4" w:rsidRPr="00FD02D4" w:rsidRDefault="00FD02D4" w:rsidP="0033302D">
            <w:pPr>
              <w:keepNext/>
              <w:spacing w:after="0" w:line="240" w:lineRule="auto"/>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Initial glycerol concentration: 30 g/l</w:t>
            </w:r>
          </w:p>
        </w:tc>
      </w:tr>
    </w:tbl>
    <w:p w:rsidR="00FD02D4" w:rsidRPr="00FD02D4" w:rsidRDefault="00FD02D4" w:rsidP="00FD02D4">
      <w:pPr>
        <w:pStyle w:val="af"/>
        <w:spacing w:after="120"/>
        <w:jc w:val="center"/>
        <w:rPr>
          <w:rFonts w:ascii="Palatino Linotype" w:hAnsi="Palatino Linotype" w:cs="Times New Roman"/>
          <w:b w:val="0"/>
          <w:i/>
          <w:noProof/>
          <w:color w:val="000000" w:themeColor="text1"/>
          <w:sz w:val="20"/>
          <w:szCs w:val="20"/>
        </w:rPr>
      </w:pPr>
      <w:bookmarkStart w:id="90" w:name="_Toc500722285"/>
      <w:r w:rsidRPr="00FD02D4">
        <w:rPr>
          <w:rFonts w:ascii="Palatino Linotype" w:hAnsi="Palatino Linotype" w:cs="Times New Roman"/>
          <w:b w:val="0"/>
          <w:color w:val="000000" w:themeColor="text1"/>
          <w:sz w:val="20"/>
          <w:szCs w:val="20"/>
        </w:rPr>
        <w:t xml:space="preserve">Table </w:t>
      </w:r>
      <w:r>
        <w:rPr>
          <w:rFonts w:ascii="Palatino Linotype" w:hAnsi="Palatino Linotype" w:cs="Times New Roman"/>
          <w:b w:val="0"/>
          <w:i/>
          <w:color w:val="000000" w:themeColor="text1"/>
          <w:sz w:val="20"/>
          <w:szCs w:val="20"/>
        </w:rPr>
        <w:t>A1</w:t>
      </w:r>
      <w:r w:rsidRPr="00FD02D4">
        <w:rPr>
          <w:rFonts w:ascii="Palatino Linotype" w:hAnsi="Palatino Linotype" w:cs="Times New Roman"/>
          <w:b w:val="0"/>
          <w:color w:val="000000" w:themeColor="text1"/>
          <w:sz w:val="20"/>
          <w:szCs w:val="20"/>
        </w:rPr>
        <w:t xml:space="preserve"> – Raw data used to calculate kLa under 11 different aeration conditions.</w:t>
      </w:r>
      <w:bookmarkEnd w:id="90"/>
    </w:p>
    <w:p w:rsidR="00FD02D4" w:rsidRPr="00FD02D4" w:rsidRDefault="00FD02D4" w:rsidP="00FD02D4">
      <w:pPr>
        <w:autoSpaceDE w:val="0"/>
        <w:autoSpaceDN w:val="0"/>
        <w:adjustRightInd w:val="0"/>
        <w:spacing w:after="0" w:line="360" w:lineRule="auto"/>
        <w:rPr>
          <w:rFonts w:ascii="Palatino Linotype" w:hAnsi="Palatino Linotype" w:cs="Times New Roman"/>
          <w:i/>
          <w:noProof/>
          <w:color w:val="000000" w:themeColor="text1"/>
          <w:sz w:val="20"/>
          <w:szCs w:val="20"/>
        </w:rPr>
      </w:pPr>
      <w:r w:rsidRPr="00FD02D4">
        <w:rPr>
          <w:rFonts w:ascii="Palatino Linotype" w:hAnsi="Palatino Linotype" w:cs="Times New Roman"/>
          <w:noProof/>
          <w:color w:val="000000" w:themeColor="text1"/>
          <w:sz w:val="20"/>
          <w:szCs w:val="20"/>
        </w:rPr>
        <w:t xml:space="preserve">*Note </w:t>
      </w:r>
    </w:p>
    <w:p w:rsidR="00FD02D4" w:rsidRPr="00FD02D4" w:rsidRDefault="00FD02D4" w:rsidP="00FD02D4">
      <w:pPr>
        <w:pStyle w:val="ad"/>
        <w:numPr>
          <w:ilvl w:val="0"/>
          <w:numId w:val="17"/>
        </w:numPr>
        <w:autoSpaceDE w:val="0"/>
        <w:autoSpaceDN w:val="0"/>
        <w:adjustRightInd w:val="0"/>
        <w:spacing w:after="0" w:line="360" w:lineRule="auto"/>
        <w:jc w:val="both"/>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noProof/>
          <w:color w:val="000000" w:themeColor="text1"/>
          <w:sz w:val="20"/>
          <w:szCs w:val="20"/>
        </w:rPr>
        <w:t>C</w:t>
      </w:r>
      <w:r w:rsidRPr="00FD02D4">
        <w:rPr>
          <w:rFonts w:ascii="Palatino Linotype" w:eastAsia="Times New Roman" w:hAnsi="Palatino Linotype" w:cs="Times New Roman"/>
          <w:noProof/>
          <w:color w:val="000000" w:themeColor="text1"/>
          <w:sz w:val="20"/>
          <w:szCs w:val="20"/>
          <w:vertAlign w:val="subscript"/>
        </w:rPr>
        <w:t>Steady</w:t>
      </w:r>
      <w:r w:rsidRPr="00FD02D4">
        <w:rPr>
          <w:rFonts w:ascii="Palatino Linotype" w:eastAsia="Times New Roman" w:hAnsi="Palatino Linotype" w:cs="Times New Roman"/>
          <w:color w:val="000000" w:themeColor="text1"/>
          <w:sz w:val="20"/>
          <w:szCs w:val="20"/>
          <w:vertAlign w:val="subscript"/>
        </w:rPr>
        <w:t xml:space="preserve">-State </w:t>
      </w:r>
      <w:r w:rsidRPr="00FD02D4">
        <w:rPr>
          <w:rFonts w:ascii="Palatino Linotype" w:eastAsia="Times New Roman" w:hAnsi="Palatino Linotype" w:cs="Times New Roman"/>
          <w:color w:val="000000" w:themeColor="text1"/>
          <w:sz w:val="20"/>
          <w:szCs w:val="20"/>
        </w:rPr>
        <w:t xml:space="preserve">and </w:t>
      </w:r>
      <w:r w:rsidRPr="00FD02D4">
        <w:rPr>
          <w:rFonts w:ascii="Palatino Linotype" w:eastAsia="Times New Roman" w:hAnsi="Palatino Linotype" w:cs="Times New Roman"/>
          <w:noProof/>
          <w:color w:val="000000" w:themeColor="text1"/>
          <w:sz w:val="20"/>
          <w:szCs w:val="20"/>
        </w:rPr>
        <w:t>C</w:t>
      </w:r>
      <w:r w:rsidRPr="00FD02D4">
        <w:rPr>
          <w:rFonts w:ascii="Palatino Linotype" w:eastAsia="Times New Roman" w:hAnsi="Palatino Linotype" w:cs="Times New Roman"/>
          <w:noProof/>
          <w:color w:val="000000" w:themeColor="text1"/>
          <w:sz w:val="20"/>
          <w:szCs w:val="20"/>
          <w:vertAlign w:val="subscript"/>
        </w:rPr>
        <w:t>Saturated</w:t>
      </w:r>
      <w:r w:rsidRPr="00FD02D4">
        <w:rPr>
          <w:rFonts w:ascii="Palatino Linotype" w:eastAsia="Times New Roman" w:hAnsi="Palatino Linotype" w:cs="Times New Roman"/>
          <w:color w:val="000000" w:themeColor="text1"/>
          <w:sz w:val="20"/>
          <w:szCs w:val="20"/>
        </w:rPr>
        <w:t xml:space="preserve"> </w:t>
      </w:r>
      <w:r w:rsidRPr="00FD02D4">
        <w:rPr>
          <w:rFonts w:ascii="Palatino Linotype" w:eastAsia="Times New Roman" w:hAnsi="Palatino Linotype" w:cs="Times New Roman"/>
          <w:noProof/>
          <w:color w:val="000000" w:themeColor="text1"/>
          <w:sz w:val="20"/>
          <w:szCs w:val="20"/>
        </w:rPr>
        <w:t>denote</w:t>
      </w:r>
      <w:r w:rsidRPr="00FD02D4">
        <w:rPr>
          <w:rFonts w:ascii="Palatino Linotype" w:eastAsia="Times New Roman" w:hAnsi="Palatino Linotype" w:cs="Times New Roman"/>
          <w:color w:val="000000" w:themeColor="text1"/>
          <w:sz w:val="20"/>
          <w:szCs w:val="20"/>
        </w:rPr>
        <w:t xml:space="preserve"> the steady-state and saturated D.O. tension as displayed on the oxygen meter screen, rather than the actual oxygen concentrations. </w:t>
      </w:r>
    </w:p>
    <w:p w:rsidR="00FD02D4" w:rsidRPr="00FD02D4" w:rsidRDefault="00FD02D4" w:rsidP="00FD02D4">
      <w:pPr>
        <w:pStyle w:val="ad"/>
        <w:numPr>
          <w:ilvl w:val="0"/>
          <w:numId w:val="17"/>
        </w:numPr>
        <w:autoSpaceDE w:val="0"/>
        <w:autoSpaceDN w:val="0"/>
        <w:adjustRightInd w:val="0"/>
        <w:spacing w:after="120" w:line="360" w:lineRule="auto"/>
        <w:jc w:val="both"/>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 xml:space="preserve">Before fermentation started, oxygen probe was calibrated such that the D.O. tension in oxygen-saturated culture broth is 100.00. For </w:t>
      </w:r>
      <w:r w:rsidRPr="00FD02D4">
        <w:rPr>
          <w:rFonts w:ascii="Palatino Linotype" w:eastAsia="Times New Roman" w:hAnsi="Palatino Linotype" w:cs="Times New Roman"/>
          <w:noProof/>
          <w:color w:val="000000" w:themeColor="text1"/>
          <w:sz w:val="20"/>
          <w:szCs w:val="20"/>
        </w:rPr>
        <w:t>unknown</w:t>
      </w:r>
      <w:r w:rsidRPr="00FD02D4">
        <w:rPr>
          <w:rFonts w:ascii="Palatino Linotype" w:eastAsia="Times New Roman" w:hAnsi="Palatino Linotype" w:cs="Times New Roman"/>
          <w:color w:val="000000" w:themeColor="text1"/>
          <w:sz w:val="20"/>
          <w:szCs w:val="20"/>
        </w:rPr>
        <w:t xml:space="preserve"> reasons, the oxygen detector baseline drifted significantly during the operation. By the end of the experiment, the D.O. tension measurement for an oxygen-saturated broth dropped to 46.30. Meanwhile, the minimum D.O. tension (i.e. the baseline) equals 15.40. Nevertheless, this deviation does not affect the values of kLa estimated, since it affects both OTR and (C</w:t>
      </w:r>
      <w:r w:rsidRPr="00FD02D4">
        <w:rPr>
          <w:rFonts w:ascii="Palatino Linotype" w:eastAsia="Times New Roman" w:hAnsi="Palatino Linotype" w:cs="Times New Roman"/>
          <w:color w:val="000000" w:themeColor="text1"/>
          <w:sz w:val="20"/>
          <w:szCs w:val="20"/>
          <w:vertAlign w:val="subscript"/>
        </w:rPr>
        <w:t>DO</w:t>
      </w:r>
      <w:r w:rsidRPr="00FD02D4">
        <w:rPr>
          <w:rFonts w:ascii="Palatino Linotype" w:eastAsia="Times New Roman" w:hAnsi="Palatino Linotype" w:cs="Times New Roman"/>
          <w:color w:val="000000" w:themeColor="text1"/>
          <w:sz w:val="20"/>
          <w:szCs w:val="20"/>
        </w:rPr>
        <w:t>*-C</w:t>
      </w:r>
      <w:r w:rsidRPr="00FD02D4">
        <w:rPr>
          <w:rFonts w:ascii="Palatino Linotype" w:eastAsia="Times New Roman" w:hAnsi="Palatino Linotype" w:cs="Times New Roman"/>
          <w:color w:val="000000" w:themeColor="text1"/>
          <w:sz w:val="20"/>
          <w:szCs w:val="20"/>
          <w:vertAlign w:val="subscript"/>
        </w:rPr>
        <w:t>DO</w:t>
      </w:r>
      <w:r w:rsidRPr="00FD02D4">
        <w:rPr>
          <w:rFonts w:ascii="Palatino Linotype" w:eastAsia="Times New Roman" w:hAnsi="Palatino Linotype" w:cs="Times New Roman"/>
          <w:color w:val="000000" w:themeColor="text1"/>
          <w:sz w:val="20"/>
          <w:szCs w:val="20"/>
        </w:rPr>
        <w:t xml:space="preserve">) at the same proportion, so when the former term was divided by the latter term to calculate </w:t>
      </w:r>
      <w:r w:rsidRPr="00FD02D4">
        <w:rPr>
          <w:rFonts w:ascii="Palatino Linotype" w:eastAsia="Times New Roman" w:hAnsi="Palatino Linotype" w:cs="Times New Roman"/>
          <w:noProof/>
          <w:color w:val="000000" w:themeColor="text1"/>
          <w:sz w:val="20"/>
          <w:szCs w:val="20"/>
        </w:rPr>
        <w:t>kLa</w:t>
      </w:r>
      <w:r w:rsidRPr="00FD02D4">
        <w:rPr>
          <w:rFonts w:ascii="Palatino Linotype" w:eastAsia="Times New Roman" w:hAnsi="Palatino Linotype" w:cs="Times New Roman"/>
          <w:color w:val="000000" w:themeColor="text1"/>
          <w:sz w:val="20"/>
          <w:szCs w:val="20"/>
        </w:rPr>
        <w:t xml:space="preserve">, the deviation was offset. </w:t>
      </w:r>
    </w:p>
    <w:p w:rsidR="00FD02D4" w:rsidRPr="00FD02D4" w:rsidRDefault="00FD02D4" w:rsidP="00FD02D4">
      <w:pPr>
        <w:pStyle w:val="3"/>
        <w:rPr>
          <w:rFonts w:ascii="Palatino Linotype" w:hAnsi="Palatino Linotype"/>
          <w:color w:val="000000" w:themeColor="text1"/>
          <w:sz w:val="20"/>
          <w:szCs w:val="20"/>
        </w:rPr>
      </w:pPr>
      <w:bookmarkStart w:id="91" w:name="_Appendix_A3_-"/>
      <w:bookmarkStart w:id="92" w:name="_Toc500722168"/>
      <w:bookmarkStart w:id="93" w:name="_Toc38967976"/>
      <w:bookmarkEnd w:id="91"/>
      <w:r>
        <w:rPr>
          <w:rFonts w:ascii="Palatino Linotype" w:hAnsi="Palatino Linotype"/>
          <w:color w:val="000000" w:themeColor="text1"/>
          <w:sz w:val="20"/>
          <w:szCs w:val="20"/>
        </w:rPr>
        <w:t xml:space="preserve">A2. </w:t>
      </w:r>
      <w:r w:rsidRPr="00FD02D4">
        <w:rPr>
          <w:rFonts w:ascii="Palatino Linotype" w:hAnsi="Palatino Linotype"/>
          <w:color w:val="000000" w:themeColor="text1"/>
          <w:sz w:val="20"/>
          <w:szCs w:val="20"/>
        </w:rPr>
        <w:t xml:space="preserve">Calculation of </w:t>
      </w:r>
      <w:r w:rsidRPr="00FD02D4">
        <w:rPr>
          <w:rFonts w:ascii="Palatino Linotype" w:hAnsi="Palatino Linotype"/>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OA</w:t>
      </w:r>
      <w:r w:rsidRPr="00FD02D4">
        <w:rPr>
          <w:rStyle w:val="apple-converted-space"/>
          <w:rFonts w:ascii="Palatino Linotype" w:hAnsi="Palatino Linotype" w:cs="Times New Roman"/>
          <w:color w:val="000000" w:themeColor="text1"/>
          <w:sz w:val="20"/>
          <w:szCs w:val="20"/>
          <w:shd w:val="clear" w:color="auto" w:fill="FFFFFF"/>
        </w:rPr>
        <w:t>, [AC]</w:t>
      </w:r>
      <w:r w:rsidRPr="00FD02D4">
        <w:rPr>
          <w:rStyle w:val="apple-converted-space"/>
          <w:rFonts w:ascii="Palatino Linotype" w:hAnsi="Palatino Linotype" w:cs="Times New Roman"/>
          <w:color w:val="000000" w:themeColor="text1"/>
          <w:sz w:val="20"/>
          <w:szCs w:val="20"/>
          <w:shd w:val="clear" w:color="auto" w:fill="FFFFFF"/>
          <w:vertAlign w:val="subscript"/>
        </w:rPr>
        <w:t xml:space="preserve"> </w:t>
      </w:r>
      <w:r w:rsidRPr="00FD02D4">
        <w:rPr>
          <w:rStyle w:val="apple-converted-space"/>
          <w:rFonts w:ascii="Palatino Linotype" w:hAnsi="Palatino Linotype" w:cs="Times New Roman"/>
          <w:color w:val="000000" w:themeColor="text1"/>
          <w:sz w:val="20"/>
          <w:szCs w:val="20"/>
          <w:shd w:val="clear" w:color="auto" w:fill="FFFFFF"/>
        </w:rPr>
        <w:t>and [MAL]</w:t>
      </w:r>
      <w:bookmarkEnd w:id="92"/>
      <w:bookmarkEnd w:id="93"/>
    </w:p>
    <w:p w:rsidR="00FD02D4" w:rsidRPr="00FD02D4" w:rsidRDefault="00FD02D4" w:rsidP="00FD02D4">
      <w:pPr>
        <w:autoSpaceDE w:val="0"/>
        <w:autoSpaceDN w:val="0"/>
        <w:adjustRightInd w:val="0"/>
        <w:spacing w:after="120" w:line="360" w:lineRule="auto"/>
        <w:jc w:val="both"/>
        <w:rPr>
          <w:rStyle w:val="apple-converted-space"/>
          <w:rFonts w:ascii="Palatino Linotype" w:hAnsi="Palatino Linotype" w:cs="Times New Roman"/>
          <w:i/>
          <w:color w:val="000000" w:themeColor="text1"/>
          <w:sz w:val="20"/>
          <w:szCs w:val="20"/>
          <w:shd w:val="clear" w:color="auto" w:fill="FFFFFF"/>
        </w:rPr>
      </w:pPr>
      <w:r w:rsidRPr="00FD02D4">
        <w:rPr>
          <w:rFonts w:ascii="Palatino Linotype" w:eastAsia="Times New Roman" w:hAnsi="Palatino Linotype" w:cs="Times New Roman"/>
          <w:color w:val="000000" w:themeColor="text1"/>
          <w:sz w:val="20"/>
          <w:szCs w:val="20"/>
        </w:rPr>
        <w:t xml:space="preserve">First of all, the increase in the total </w:t>
      </w:r>
      <w:r w:rsidRPr="00FD02D4">
        <w:rPr>
          <w:rFonts w:ascii="Palatino Linotype" w:hAnsi="Palatino Linotype" w:cs="Times New Roman"/>
          <w:color w:val="000000" w:themeColor="text1"/>
          <w:sz w:val="20"/>
          <w:szCs w:val="20"/>
          <w:shd w:val="clear" w:color="auto" w:fill="FFFFFF"/>
        </w:rPr>
        <w:t>hydronium ion concentration ∆</w:t>
      </w:r>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Total</w:t>
      </w:r>
      <w:r w:rsidRPr="00FD02D4">
        <w:rPr>
          <w:rFonts w:ascii="Palatino Linotype" w:hAnsi="Palatino Linotype" w:cs="Times New Roman"/>
          <w:color w:val="000000" w:themeColor="text1"/>
          <w:sz w:val="20"/>
          <w:szCs w:val="20"/>
          <w:shd w:val="clear" w:color="auto" w:fill="FFFFFF"/>
        </w:rPr>
        <w:t xml:space="preserve"> comes from the production of organic acids ∆</w:t>
      </w:r>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OA</w:t>
      </w:r>
      <w:r w:rsidRPr="00FD02D4">
        <w:rPr>
          <w:rStyle w:val="apple-converted-space"/>
          <w:rFonts w:ascii="Palatino Linotype" w:hAnsi="Palatino Linotype" w:cs="Times New Roman"/>
          <w:color w:val="000000" w:themeColor="text1"/>
          <w:sz w:val="20"/>
          <w:szCs w:val="20"/>
          <w:shd w:val="clear" w:color="auto" w:fill="FFFFFF"/>
        </w:rPr>
        <w:t xml:space="preserve"> as well as sulfuric acid </w:t>
      </w:r>
      <w:r w:rsidRPr="00FD02D4">
        <w:rPr>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N</w:t>
      </w:r>
      <w:r w:rsidRPr="00FD02D4">
        <w:rPr>
          <w:rStyle w:val="apple-converted-space"/>
          <w:rFonts w:ascii="Palatino Linotype" w:hAnsi="Palatino Linotype" w:cs="Times New Roman"/>
          <w:color w:val="000000" w:themeColor="text1"/>
          <w:sz w:val="20"/>
          <w:szCs w:val="20"/>
          <w:shd w:val="clear" w:color="auto" w:fill="FFFFFF"/>
        </w:rPr>
        <w:t xml:space="preserve"> (due to </w:t>
      </w:r>
      <w:r w:rsidRPr="00FD02D4">
        <w:rPr>
          <w:rStyle w:val="apple-converted-space"/>
          <w:rFonts w:ascii="Palatino Linotype" w:hAnsi="Palatino Linotype" w:cs="Times New Roman"/>
          <w:noProof/>
          <w:color w:val="000000" w:themeColor="text1"/>
          <w:sz w:val="20"/>
          <w:szCs w:val="20"/>
          <w:shd w:val="clear" w:color="auto" w:fill="FFFFFF"/>
        </w:rPr>
        <w:t>assimilation</w:t>
      </w:r>
      <w:r w:rsidRPr="00FD02D4">
        <w:rPr>
          <w:rStyle w:val="apple-converted-space"/>
          <w:rFonts w:ascii="Palatino Linotype" w:hAnsi="Palatino Linotype" w:cs="Times New Roman"/>
          <w:color w:val="000000" w:themeColor="text1"/>
          <w:sz w:val="20"/>
          <w:szCs w:val="20"/>
          <w:shd w:val="clear" w:color="auto" w:fill="FFFFFF"/>
        </w:rPr>
        <w:t xml:space="preserve"> of (NH</w:t>
      </w:r>
      <w:r w:rsidRPr="00FD02D4">
        <w:rPr>
          <w:rStyle w:val="apple-converted-space"/>
          <w:rFonts w:ascii="Palatino Linotype" w:hAnsi="Palatino Linotype" w:cs="Times New Roman"/>
          <w:color w:val="000000" w:themeColor="text1"/>
          <w:sz w:val="20"/>
          <w:szCs w:val="20"/>
          <w:shd w:val="clear" w:color="auto" w:fill="FFFFFF"/>
          <w:vertAlign w:val="subscript"/>
        </w:rPr>
        <w:t>4</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2</w:t>
      </w:r>
      <w:r w:rsidRPr="00FD02D4">
        <w:rPr>
          <w:rStyle w:val="apple-converted-space"/>
          <w:rFonts w:ascii="Palatino Linotype" w:hAnsi="Palatino Linotype" w:cs="Times New Roman"/>
          <w:color w:val="000000" w:themeColor="text1"/>
          <w:sz w:val="20"/>
          <w:szCs w:val="20"/>
          <w:shd w:val="clear" w:color="auto" w:fill="FFFFFF"/>
        </w:rPr>
        <w:t>SO</w:t>
      </w:r>
      <w:r w:rsidRPr="00FD02D4">
        <w:rPr>
          <w:rStyle w:val="apple-converted-space"/>
          <w:rFonts w:ascii="Palatino Linotype" w:hAnsi="Palatino Linotype" w:cs="Times New Roman"/>
          <w:color w:val="000000" w:themeColor="text1"/>
          <w:sz w:val="20"/>
          <w:szCs w:val="20"/>
          <w:shd w:val="clear" w:color="auto" w:fill="FFFFFF"/>
          <w:vertAlign w:val="subscript"/>
        </w:rPr>
        <w:t>4</w:t>
      </w:r>
      <w:r w:rsidRPr="00FD02D4">
        <w:rPr>
          <w:rStyle w:val="apple-converted-space"/>
          <w:rFonts w:ascii="Palatino Linotype" w:hAnsi="Palatino Linotype" w:cs="Times New Roman"/>
          <w:color w:val="000000" w:themeColor="text1"/>
          <w:sz w:val="20"/>
          <w:szCs w:val="20"/>
          <w:shd w:val="clear" w:color="auto" w:fill="FFFFFF"/>
        </w:rPr>
        <w:t xml:space="preserve">): </w:t>
      </w:r>
    </w:p>
    <w:p w:rsidR="00FD02D4" w:rsidRPr="00FD02D4" w:rsidRDefault="00FD02D4" w:rsidP="00FD02D4">
      <w:pPr>
        <w:autoSpaceDE w:val="0"/>
        <w:autoSpaceDN w:val="0"/>
        <w:adjustRightInd w:val="0"/>
        <w:spacing w:after="120" w:line="360" w:lineRule="auto"/>
        <w:rPr>
          <w:rStyle w:val="apple-converted-space"/>
          <w:rFonts w:ascii="Palatino Linotype" w:hAnsi="Palatino Linotype" w:cs="Times New Roman"/>
          <w:i/>
          <w:color w:val="000000" w:themeColor="text1"/>
          <w:sz w:val="20"/>
          <w:szCs w:val="20"/>
          <w:shd w:val="clear" w:color="auto" w:fill="FFFFFF"/>
        </w:rPr>
      </w:pPr>
      <m:oMathPara>
        <m:oMathParaPr>
          <m:jc m:val="left"/>
        </m:oMathParaPr>
        <m:oMath>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Total</m:t>
              </m:r>
            </m:sub>
          </m:sSub>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OA</m:t>
              </m:r>
            </m:sub>
          </m:sSub>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N</m:t>
              </m:r>
            </m:sub>
          </m:sSub>
          <m:r>
            <w:rPr>
              <w:rFonts w:ascii="Cambria Math" w:hAnsi="Cambria Math" w:cs="Times New Roman"/>
              <w:color w:val="000000" w:themeColor="text1"/>
              <w:sz w:val="20"/>
              <w:szCs w:val="20"/>
            </w:rPr>
            <m:t xml:space="preserve">     —</m:t>
          </m:r>
          <m:r>
            <m:rPr>
              <m:sty m:val="bi"/>
            </m:rPr>
            <w:rPr>
              <w:rFonts w:ascii="Cambria Math" w:hAnsi="Cambria Math" w:cs="Times New Roman"/>
              <w:color w:val="000000" w:themeColor="text1"/>
              <w:sz w:val="20"/>
              <w:szCs w:val="20"/>
            </w:rPr>
            <m:t>(1)</m:t>
          </m:r>
        </m:oMath>
      </m:oMathPara>
    </w:p>
    <w:p w:rsidR="00FD02D4" w:rsidRPr="00FD02D4" w:rsidRDefault="00FD02D4" w:rsidP="00FD02D4">
      <w:pPr>
        <w:spacing w:after="120" w:line="360" w:lineRule="auto"/>
        <w:rPr>
          <w:rFonts w:ascii="Palatino Linotype" w:eastAsia="Times New Roman" w:hAnsi="Palatino Linotype" w:cs="Times New Roman"/>
          <w:b/>
          <w:i/>
          <w:iCs/>
          <w:color w:val="000000" w:themeColor="text1"/>
          <w:sz w:val="20"/>
          <w:szCs w:val="20"/>
        </w:rPr>
      </w:pPr>
      <w:r w:rsidRPr="00FD02D4">
        <w:rPr>
          <w:rFonts w:ascii="Palatino Linotype" w:eastAsia="Times New Roman" w:hAnsi="Palatino Linotype" w:cs="Times New Roman"/>
          <w:color w:val="000000" w:themeColor="text1"/>
          <w:sz w:val="20"/>
          <w:szCs w:val="20"/>
        </w:rPr>
        <w:t xml:space="preserve">The increase of </w:t>
      </w:r>
      <w:r w:rsidRPr="00FD02D4">
        <w:rPr>
          <w:rFonts w:ascii="Palatino Linotype" w:hAnsi="Palatino Linotype" w:cs="Times New Roman"/>
          <w:color w:val="000000" w:themeColor="text1"/>
          <w:sz w:val="20"/>
          <w:szCs w:val="20"/>
          <w:shd w:val="clear" w:color="auto" w:fill="FFFFFF"/>
        </w:rPr>
        <w:t>hydronium ion concentration</w:t>
      </w:r>
      <w:r w:rsidRPr="00FD02D4">
        <w:rPr>
          <w:rFonts w:ascii="Palatino Linotype" w:eastAsia="Times New Roman" w:hAnsi="Palatino Linotype" w:cs="Times New Roman"/>
          <w:color w:val="000000" w:themeColor="text1"/>
          <w:sz w:val="20"/>
          <w:szCs w:val="20"/>
        </w:rPr>
        <w:t xml:space="preserve"> consequently leads to decreased pH, as given in (</w:t>
      </w:r>
      <w:r w:rsidRPr="00FD02D4">
        <w:rPr>
          <w:rFonts w:ascii="Palatino Linotype" w:eastAsia="Times New Roman" w:hAnsi="Palatino Linotype" w:cs="Times New Roman"/>
          <w:b/>
          <w:color w:val="000000" w:themeColor="text1"/>
          <w:sz w:val="20"/>
          <w:szCs w:val="20"/>
        </w:rPr>
        <w:t>2</w:t>
      </w:r>
      <w:r w:rsidRPr="00FD02D4">
        <w:rPr>
          <w:rFonts w:ascii="Palatino Linotype" w:eastAsia="Times New Roman" w:hAnsi="Palatino Linotype" w:cs="Times New Roman"/>
          <w:color w:val="000000" w:themeColor="text1"/>
          <w:sz w:val="20"/>
          <w:szCs w:val="20"/>
        </w:rPr>
        <w:t>)</w:t>
      </w:r>
    </w:p>
    <w:p w:rsidR="00FD02D4" w:rsidRPr="00FD02D4" w:rsidRDefault="00FD02D4" w:rsidP="00FD02D4">
      <w:pPr>
        <w:spacing w:after="120" w:line="360" w:lineRule="auto"/>
        <w:rPr>
          <w:rFonts w:ascii="Palatino Linotype" w:eastAsia="Times New Roman" w:hAnsi="Palatino Linotype" w:cs="Times New Roman"/>
          <w:i/>
          <w:iCs/>
          <w:color w:val="000000" w:themeColor="text1"/>
          <w:sz w:val="20"/>
          <w:szCs w:val="20"/>
        </w:rPr>
      </w:pPr>
      <m:oMathPara>
        <m:oMathParaPr>
          <m:jc m:val="left"/>
        </m:oMathParaPr>
        <m:oMath>
          <m:r>
            <w:rPr>
              <w:rFonts w:ascii="Cambria Math" w:hAnsi="Cambria Math" w:cs="Times New Roman"/>
              <w:noProof/>
              <w:color w:val="000000" w:themeColor="text1"/>
              <w:sz w:val="20"/>
              <w:szCs w:val="20"/>
              <w:shd w:val="clear" w:color="auto" w:fill="FFFFFF"/>
            </w:rPr>
            <m:t>pH=pKa+log⁡</m:t>
          </m:r>
          <m:d>
            <m:dPr>
              <m:ctrlPr>
                <w:rPr>
                  <w:rFonts w:ascii="Cambria Math" w:hAnsi="Cambria Math" w:cs="Times New Roman"/>
                  <w:noProof/>
                  <w:color w:val="000000" w:themeColor="text1"/>
                  <w:sz w:val="20"/>
                  <w:szCs w:val="20"/>
                  <w:shd w:val="clear" w:color="auto" w:fill="FFFFFF"/>
                </w:rPr>
              </m:ctrlPr>
            </m:dPr>
            <m:e>
              <m:f>
                <m:fPr>
                  <m:ctrlPr>
                    <w:rPr>
                      <w:rFonts w:ascii="Cambria Math" w:hAnsi="Cambria Math" w:cs="Times New Roman"/>
                      <w:noProof/>
                      <w:color w:val="000000" w:themeColor="text1"/>
                      <w:sz w:val="20"/>
                      <w:szCs w:val="20"/>
                      <w:shd w:val="clear" w:color="auto" w:fill="FFFFFF"/>
                    </w:rPr>
                  </m:ctrlPr>
                </m:fPr>
                <m:num>
                  <m:r>
                    <w:rPr>
                      <w:rFonts w:ascii="Cambria Math" w:hAnsi="Cambria Math" w:cs="Times New Roman"/>
                      <w:noProof/>
                      <w:color w:val="000000" w:themeColor="text1"/>
                      <w:sz w:val="20"/>
                      <w:szCs w:val="20"/>
                      <w:shd w:val="clear" w:color="auto" w:fill="FFFFFF"/>
                    </w:rPr>
                    <m:t>[</m:t>
                  </m:r>
                  <m:sSup>
                    <m:sSupPr>
                      <m:ctrlPr>
                        <w:rPr>
                          <w:rFonts w:ascii="Cambria Math" w:hAnsi="Cambria Math" w:cs="Times New Roman"/>
                          <w:noProof/>
                          <w:color w:val="000000" w:themeColor="text1"/>
                          <w:sz w:val="20"/>
                          <w:szCs w:val="20"/>
                          <w:shd w:val="clear" w:color="auto" w:fill="FFFFFF"/>
                        </w:rPr>
                      </m:ctrlPr>
                    </m:sSupPr>
                    <m:e>
                      <m:r>
                        <w:rPr>
                          <w:rFonts w:ascii="Cambria Math" w:hAnsi="Cambria Math" w:cs="Times New Roman"/>
                          <w:noProof/>
                          <w:color w:val="000000" w:themeColor="text1"/>
                          <w:sz w:val="20"/>
                          <w:szCs w:val="20"/>
                          <w:shd w:val="clear" w:color="auto" w:fill="FFFFFF"/>
                        </w:rPr>
                        <m:t>A</m:t>
                      </m:r>
                    </m:e>
                    <m:sup>
                      <m:r>
                        <w:rPr>
                          <w:rFonts w:ascii="Cambria Math" w:hAnsi="Cambria Math" w:cs="Times New Roman"/>
                          <w:noProof/>
                          <w:color w:val="000000" w:themeColor="text1"/>
                          <w:sz w:val="20"/>
                          <w:szCs w:val="20"/>
                          <w:shd w:val="clear" w:color="auto" w:fill="FFFFFF"/>
                        </w:rPr>
                        <m:t>-</m:t>
                      </m:r>
                    </m:sup>
                  </m:sSup>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Total</m:t>
                      </m:r>
                    </m:sub>
                  </m:sSub>
                </m:num>
                <m:den>
                  <m:r>
                    <w:rPr>
                      <w:rFonts w:ascii="Cambria Math" w:hAnsi="Cambria Math" w:cs="Times New Roman"/>
                      <w:noProof/>
                      <w:color w:val="000000" w:themeColor="text1"/>
                      <w:sz w:val="20"/>
                      <w:szCs w:val="20"/>
                      <w:shd w:val="clear" w:color="auto" w:fill="FFFFFF"/>
                    </w:rPr>
                    <m:t>[HA]+∆</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Total</m:t>
                      </m:r>
                    </m:sub>
                  </m:sSub>
                </m:den>
              </m:f>
            </m:e>
          </m:d>
          <m:r>
            <w:rPr>
              <w:rFonts w:ascii="Cambria Math" w:hAnsi="Cambria Math" w:cs="Times New Roman"/>
              <w:color w:val="000000" w:themeColor="text1"/>
              <w:sz w:val="20"/>
              <w:szCs w:val="20"/>
            </w:rPr>
            <m:t xml:space="preserve">      —</m:t>
          </m:r>
          <m:r>
            <m:rPr>
              <m:sty m:val="bi"/>
            </m:rPr>
            <w:rPr>
              <w:rFonts w:ascii="Cambria Math" w:hAnsi="Cambria Math" w:cs="Times New Roman"/>
              <w:color w:val="000000" w:themeColor="text1"/>
              <w:sz w:val="20"/>
              <w:szCs w:val="20"/>
            </w:rPr>
            <m:t>(2)</m:t>
          </m:r>
        </m:oMath>
      </m:oMathPara>
    </w:p>
    <w:p w:rsidR="00FD02D4" w:rsidRPr="00FD02D4" w:rsidRDefault="00FD02D4" w:rsidP="00FD02D4">
      <w:pPr>
        <w:pStyle w:val="a7"/>
        <w:spacing w:after="120" w:line="360" w:lineRule="auto"/>
        <w:jc w:val="both"/>
        <w:rPr>
          <w:rFonts w:ascii="Palatino Linotype" w:eastAsia="Times New Roman" w:hAnsi="Palatino Linotype" w:cs="Times New Roman"/>
          <w:i/>
          <w:iCs/>
          <w:color w:val="000000" w:themeColor="text1"/>
          <w:sz w:val="20"/>
          <w:szCs w:val="20"/>
        </w:rPr>
      </w:pPr>
      <w:r w:rsidRPr="00FD02D4">
        <w:rPr>
          <w:rFonts w:ascii="Palatino Linotype" w:hAnsi="Palatino Linotype" w:cs="Times New Roman"/>
          <w:noProof/>
          <w:color w:val="000000" w:themeColor="text1"/>
          <w:sz w:val="20"/>
          <w:szCs w:val="20"/>
        </w:rPr>
        <w:t xml:space="preserve">Where [HA] is the concentration of the conjugate acid, </w:t>
      </w:r>
      <w:r w:rsidRPr="00FD02D4">
        <w:rPr>
          <w:rFonts w:ascii="Palatino Linotype" w:eastAsia="Times New Roman" w:hAnsi="Palatino Linotype" w:cs="Times New Roman"/>
          <w:color w:val="000000" w:themeColor="text1"/>
          <w:sz w:val="20"/>
          <w:szCs w:val="20"/>
        </w:rPr>
        <w:t>KH</w:t>
      </w:r>
      <w:r w:rsidRPr="00FD02D4">
        <w:rPr>
          <w:rFonts w:ascii="Palatino Linotype" w:eastAsia="Times New Roman" w:hAnsi="Palatino Linotype" w:cs="Times New Roman"/>
          <w:color w:val="000000" w:themeColor="text1"/>
          <w:sz w:val="20"/>
          <w:szCs w:val="20"/>
          <w:vertAlign w:val="subscript"/>
        </w:rPr>
        <w:t>2</w:t>
      </w:r>
      <w:r w:rsidRPr="00FD02D4">
        <w:rPr>
          <w:rFonts w:ascii="Palatino Linotype" w:eastAsia="Times New Roman" w:hAnsi="Palatino Linotype" w:cs="Times New Roman"/>
          <w:color w:val="000000" w:themeColor="text1"/>
          <w:sz w:val="20"/>
          <w:szCs w:val="20"/>
        </w:rPr>
        <w:t>PO</w:t>
      </w:r>
      <w:r w:rsidRPr="00FD02D4">
        <w:rPr>
          <w:rFonts w:ascii="Palatino Linotype" w:eastAsia="Times New Roman" w:hAnsi="Palatino Linotype" w:cs="Times New Roman"/>
          <w:color w:val="000000" w:themeColor="text1"/>
          <w:sz w:val="20"/>
          <w:szCs w:val="20"/>
          <w:vertAlign w:val="subscript"/>
        </w:rPr>
        <w:t>4</w:t>
      </w:r>
      <w:r w:rsidRPr="00FD02D4">
        <w:rPr>
          <w:rFonts w:ascii="Palatino Linotype" w:eastAsia="Times New Roman" w:hAnsi="Palatino Linotype" w:cs="Times New Roman"/>
          <w:color w:val="000000" w:themeColor="text1"/>
          <w:sz w:val="20"/>
          <w:szCs w:val="20"/>
        </w:rPr>
        <w:t xml:space="preserve">, and </w:t>
      </w:r>
      <w:r w:rsidRPr="00FD02D4">
        <w:rPr>
          <w:rFonts w:ascii="Palatino Linotype" w:hAnsi="Palatino Linotype" w:cs="Times New Roman"/>
          <w:noProof/>
          <w:color w:val="000000" w:themeColor="text1"/>
          <w:sz w:val="20"/>
          <w:szCs w:val="20"/>
        </w:rPr>
        <w:t>[A</w:t>
      </w:r>
      <w:r w:rsidRPr="00FD02D4">
        <w:rPr>
          <w:rFonts w:ascii="Palatino Linotype" w:hAnsi="Palatino Linotype" w:cs="Times New Roman"/>
          <w:noProof/>
          <w:color w:val="000000" w:themeColor="text1"/>
          <w:sz w:val="20"/>
          <w:szCs w:val="20"/>
          <w:vertAlign w:val="superscript"/>
        </w:rPr>
        <w:t>-</w:t>
      </w:r>
      <w:r w:rsidRPr="00FD02D4">
        <w:rPr>
          <w:rFonts w:ascii="Palatino Linotype" w:hAnsi="Palatino Linotype" w:cs="Times New Roman"/>
          <w:noProof/>
          <w:color w:val="000000" w:themeColor="text1"/>
          <w:sz w:val="20"/>
          <w:szCs w:val="20"/>
        </w:rPr>
        <w:t>]</w:t>
      </w:r>
      <w:r w:rsidRPr="00FD02D4">
        <w:rPr>
          <w:rFonts w:ascii="Palatino Linotype" w:eastAsia="Times New Roman" w:hAnsi="Palatino Linotype" w:cs="Times New Roman"/>
          <w:color w:val="000000" w:themeColor="text1"/>
          <w:sz w:val="20"/>
          <w:szCs w:val="20"/>
        </w:rPr>
        <w:t xml:space="preserve"> is the concentration of the conjugate base, Na</w:t>
      </w:r>
      <w:r w:rsidRPr="00FD02D4">
        <w:rPr>
          <w:rFonts w:ascii="Palatino Linotype" w:eastAsia="Times New Roman" w:hAnsi="Palatino Linotype" w:cs="Times New Roman"/>
          <w:color w:val="000000" w:themeColor="text1"/>
          <w:sz w:val="20"/>
          <w:szCs w:val="20"/>
          <w:vertAlign w:val="subscript"/>
        </w:rPr>
        <w:t>2</w:t>
      </w:r>
      <w:r w:rsidRPr="00FD02D4">
        <w:rPr>
          <w:rFonts w:ascii="Palatino Linotype" w:eastAsia="Times New Roman" w:hAnsi="Palatino Linotype" w:cs="Times New Roman"/>
          <w:color w:val="000000" w:themeColor="text1"/>
          <w:sz w:val="20"/>
          <w:szCs w:val="20"/>
        </w:rPr>
        <w:t>HPO</w:t>
      </w:r>
      <w:r w:rsidRPr="00FD02D4">
        <w:rPr>
          <w:rFonts w:ascii="Palatino Linotype" w:eastAsia="Times New Roman" w:hAnsi="Palatino Linotype" w:cs="Times New Roman"/>
          <w:color w:val="000000" w:themeColor="text1"/>
          <w:sz w:val="20"/>
          <w:szCs w:val="20"/>
          <w:vertAlign w:val="subscript"/>
        </w:rPr>
        <w:t>4</w:t>
      </w:r>
      <w:r w:rsidRPr="00FD02D4">
        <w:rPr>
          <w:rFonts w:ascii="Palatino Linotype" w:eastAsia="Times New Roman" w:hAnsi="Palatino Linotype" w:cs="Times New Roman"/>
          <w:color w:val="000000" w:themeColor="text1"/>
          <w:sz w:val="20"/>
          <w:szCs w:val="20"/>
        </w:rPr>
        <w:t xml:space="preserve">. pKa is the negative base-10 logarithm of the acid dissociation constant (Ka). Rearranging (2), we obtain: </w:t>
      </w:r>
    </w:p>
    <w:p w:rsidR="00FD02D4" w:rsidRPr="00FD02D4" w:rsidRDefault="0033302D" w:rsidP="00FD02D4">
      <w:pPr>
        <w:pStyle w:val="a7"/>
        <w:spacing w:after="120" w:line="360" w:lineRule="auto"/>
        <w:jc w:val="both"/>
        <w:rPr>
          <w:rFonts w:ascii="Palatino Linotype" w:eastAsia="Times New Roman" w:hAnsi="Palatino Linotype" w:cs="Times New Roman"/>
          <w:i/>
          <w:iCs/>
          <w:color w:val="000000" w:themeColor="text1"/>
          <w:sz w:val="20"/>
          <w:szCs w:val="20"/>
        </w:rPr>
      </w:pPr>
      <m:oMathPara>
        <m:oMathParaPr>
          <m:jc m:val="left"/>
        </m:oMathParaPr>
        <m:oMath>
          <m:sSup>
            <m:sSupPr>
              <m:ctrlPr>
                <w:rPr>
                  <w:rFonts w:ascii="Cambria Math" w:hAnsi="Cambria Math" w:cs="Times New Roman"/>
                  <w:color w:val="000000" w:themeColor="text1"/>
                  <w:sz w:val="20"/>
                  <w:szCs w:val="20"/>
                </w:rPr>
              </m:ctrlPr>
            </m:sSupPr>
            <m:e>
              <m:r>
                <w:rPr>
                  <w:rFonts w:ascii="Cambria Math" w:hAnsi="Cambria Math" w:cs="Times New Roman"/>
                  <w:color w:val="000000" w:themeColor="text1"/>
                  <w:sz w:val="20"/>
                  <w:szCs w:val="20"/>
                </w:rPr>
                <m:t>10</m:t>
              </m:r>
            </m:e>
            <m:sup>
              <m:r>
                <w:rPr>
                  <w:rFonts w:ascii="Cambria Math" w:hAnsi="Cambria Math" w:cs="Times New Roman"/>
                  <w:color w:val="000000" w:themeColor="text1"/>
                  <w:sz w:val="20"/>
                  <w:szCs w:val="20"/>
                </w:rPr>
                <m:t>pH-pKa</m:t>
              </m:r>
            </m:sup>
          </m:sSup>
          <m:r>
            <w:rPr>
              <w:rFonts w:ascii="Cambria Math" w:hAnsi="Cambria Math" w:cs="Times New Roman"/>
              <w:color w:val="000000" w:themeColor="text1"/>
              <w:sz w:val="20"/>
              <w:szCs w:val="20"/>
            </w:rPr>
            <m:t>=L=</m:t>
          </m:r>
          <m:f>
            <m:fPr>
              <m:ctrlPr>
                <w:rPr>
                  <w:rFonts w:ascii="Cambria Math" w:hAnsi="Cambria Math" w:cs="Times New Roman"/>
                  <w:noProof/>
                  <w:color w:val="000000" w:themeColor="text1"/>
                  <w:sz w:val="20"/>
                  <w:szCs w:val="20"/>
                  <w:shd w:val="clear" w:color="auto" w:fill="FFFFFF"/>
                </w:rPr>
              </m:ctrlPr>
            </m:fPr>
            <m:num>
              <m:r>
                <w:rPr>
                  <w:rFonts w:ascii="Cambria Math" w:hAnsi="Cambria Math" w:cs="Times New Roman"/>
                  <w:noProof/>
                  <w:color w:val="000000" w:themeColor="text1"/>
                  <w:sz w:val="20"/>
                  <w:szCs w:val="20"/>
                  <w:shd w:val="clear" w:color="auto" w:fill="FFFFFF"/>
                </w:rPr>
                <m:t>[</m:t>
              </m:r>
              <m:sSup>
                <m:sSupPr>
                  <m:ctrlPr>
                    <w:rPr>
                      <w:rFonts w:ascii="Cambria Math" w:hAnsi="Cambria Math" w:cs="Times New Roman"/>
                      <w:noProof/>
                      <w:color w:val="000000" w:themeColor="text1"/>
                      <w:sz w:val="20"/>
                      <w:szCs w:val="20"/>
                      <w:shd w:val="clear" w:color="auto" w:fill="FFFFFF"/>
                    </w:rPr>
                  </m:ctrlPr>
                </m:sSupPr>
                <m:e>
                  <m:r>
                    <w:rPr>
                      <w:rFonts w:ascii="Cambria Math" w:hAnsi="Cambria Math" w:cs="Times New Roman"/>
                      <w:noProof/>
                      <w:color w:val="000000" w:themeColor="text1"/>
                      <w:sz w:val="20"/>
                      <w:szCs w:val="20"/>
                      <w:shd w:val="clear" w:color="auto" w:fill="FFFFFF"/>
                    </w:rPr>
                    <m:t>A</m:t>
                  </m:r>
                </m:e>
                <m:sup>
                  <m:r>
                    <w:rPr>
                      <w:rFonts w:ascii="Cambria Math" w:hAnsi="Cambria Math" w:cs="Times New Roman"/>
                      <w:noProof/>
                      <w:color w:val="000000" w:themeColor="text1"/>
                      <w:sz w:val="20"/>
                      <w:szCs w:val="20"/>
                      <w:shd w:val="clear" w:color="auto" w:fill="FFFFFF"/>
                    </w:rPr>
                    <m:t>-</m:t>
                  </m:r>
                </m:sup>
              </m:sSup>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Total</m:t>
                  </m:r>
                </m:sub>
              </m:sSub>
            </m:num>
            <m:den>
              <m:r>
                <w:rPr>
                  <w:rFonts w:ascii="Cambria Math" w:hAnsi="Cambria Math" w:cs="Times New Roman"/>
                  <w:noProof/>
                  <w:color w:val="000000" w:themeColor="text1"/>
                  <w:sz w:val="20"/>
                  <w:szCs w:val="20"/>
                  <w:shd w:val="clear" w:color="auto" w:fill="FFFFFF"/>
                </w:rPr>
                <m:t>[HA]+∆</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Total</m:t>
                  </m:r>
                </m:sub>
              </m:sSub>
            </m:den>
          </m:f>
          <m:r>
            <w:rPr>
              <w:rFonts w:ascii="Cambria Math" w:hAnsi="Cambria Math" w:cs="Times New Roman"/>
              <w:color w:val="000000" w:themeColor="text1"/>
              <w:sz w:val="20"/>
              <w:szCs w:val="20"/>
            </w:rPr>
            <m:t xml:space="preserve">      —</m:t>
          </m:r>
          <m:r>
            <m:rPr>
              <m:sty m:val="bi"/>
            </m:rPr>
            <w:rPr>
              <w:rFonts w:ascii="Cambria Math" w:hAnsi="Cambria Math" w:cs="Times New Roman"/>
              <w:color w:val="000000" w:themeColor="text1"/>
              <w:sz w:val="20"/>
              <w:szCs w:val="20"/>
            </w:rPr>
            <m:t>(3)</m:t>
          </m:r>
        </m:oMath>
      </m:oMathPara>
    </w:p>
    <w:p w:rsidR="00FD02D4" w:rsidRPr="00FD02D4" w:rsidRDefault="00FD02D4" w:rsidP="00FD02D4">
      <w:pPr>
        <w:pStyle w:val="a7"/>
        <w:spacing w:after="120" w:line="360" w:lineRule="auto"/>
        <w:jc w:val="both"/>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Further rearranging (</w:t>
      </w:r>
      <w:r w:rsidRPr="00FD02D4">
        <w:rPr>
          <w:rFonts w:ascii="Palatino Linotype" w:eastAsia="Times New Roman" w:hAnsi="Palatino Linotype" w:cs="Times New Roman"/>
          <w:b/>
          <w:color w:val="000000" w:themeColor="text1"/>
          <w:sz w:val="20"/>
          <w:szCs w:val="20"/>
        </w:rPr>
        <w:t>3</w:t>
      </w:r>
      <w:r w:rsidRPr="00FD02D4">
        <w:rPr>
          <w:rFonts w:ascii="Palatino Linotype" w:eastAsia="Times New Roman" w:hAnsi="Palatino Linotype" w:cs="Times New Roman"/>
          <w:color w:val="000000" w:themeColor="text1"/>
          <w:sz w:val="20"/>
          <w:szCs w:val="20"/>
        </w:rPr>
        <w:t xml:space="preserve">), an equation for </w:t>
      </w:r>
      <w:r w:rsidRPr="00FD02D4">
        <w:rPr>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Total</w:t>
      </w:r>
      <w:r w:rsidRPr="00FD02D4">
        <w:rPr>
          <w:rStyle w:val="apple-converted-space"/>
          <w:rFonts w:ascii="Palatino Linotype" w:hAnsi="Palatino Linotype" w:cs="Times New Roman"/>
          <w:color w:val="000000" w:themeColor="text1"/>
          <w:sz w:val="20"/>
          <w:szCs w:val="20"/>
          <w:shd w:val="clear" w:color="auto" w:fill="FFFFFF"/>
        </w:rPr>
        <w:t xml:space="preserve"> can be obtained as (</w:t>
      </w:r>
      <w:r w:rsidRPr="00FD02D4">
        <w:rPr>
          <w:rStyle w:val="apple-converted-space"/>
          <w:rFonts w:ascii="Palatino Linotype" w:hAnsi="Palatino Linotype" w:cs="Times New Roman"/>
          <w:b/>
          <w:color w:val="000000" w:themeColor="text1"/>
          <w:sz w:val="20"/>
          <w:szCs w:val="20"/>
          <w:shd w:val="clear" w:color="auto" w:fill="FFFFFF"/>
        </w:rPr>
        <w:t>4</w:t>
      </w:r>
      <w:r w:rsidRPr="00FD02D4">
        <w:rPr>
          <w:rStyle w:val="apple-converted-space"/>
          <w:rFonts w:ascii="Palatino Linotype" w:hAnsi="Palatino Linotype" w:cs="Times New Roman"/>
          <w:color w:val="000000" w:themeColor="text1"/>
          <w:sz w:val="20"/>
          <w:szCs w:val="20"/>
          <w:shd w:val="clear" w:color="auto" w:fill="FFFFFF"/>
        </w:rPr>
        <w:t xml:space="preserve">): </w:t>
      </w:r>
    </w:p>
    <w:p w:rsidR="00FD02D4" w:rsidRPr="00FD02D4" w:rsidRDefault="00FD02D4" w:rsidP="00FD02D4">
      <w:pPr>
        <w:pStyle w:val="a7"/>
        <w:spacing w:after="120" w:line="360" w:lineRule="auto"/>
        <w:jc w:val="both"/>
        <w:rPr>
          <w:rFonts w:ascii="Palatino Linotype" w:eastAsia="Times New Roman" w:hAnsi="Palatino Linotype" w:cs="Times New Roman"/>
          <w:b/>
          <w:i/>
          <w:iCs/>
          <w:color w:val="000000" w:themeColor="text1"/>
          <w:sz w:val="20"/>
          <w:szCs w:val="20"/>
        </w:rPr>
      </w:pPr>
      <m:oMathPara>
        <m:oMathParaPr>
          <m:jc m:val="left"/>
        </m:oMathParaPr>
        <m:oMath>
          <m:r>
            <w:rPr>
              <w:rFonts w:ascii="Cambria Math" w:hAnsi="Cambria Math" w:cs="Times New Roman"/>
              <w:noProof/>
              <w:color w:val="000000" w:themeColor="text1"/>
              <w:sz w:val="20"/>
              <w:szCs w:val="20"/>
              <w:shd w:val="clear" w:color="auto" w:fill="FFFFFF"/>
            </w:rPr>
            <w:lastRenderedPageBreak/>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Total</m:t>
              </m:r>
            </m:sub>
          </m:sSub>
          <m:r>
            <w:rPr>
              <w:rFonts w:ascii="Cambria Math" w:hAnsi="Cambria Math" w:cs="Times New Roman"/>
              <w:color w:val="000000" w:themeColor="text1"/>
              <w:sz w:val="20"/>
              <w:szCs w:val="20"/>
            </w:rPr>
            <m:t>=</m:t>
          </m:r>
          <m:f>
            <m:fPr>
              <m:ctrlPr>
                <w:rPr>
                  <w:rFonts w:ascii="Cambria Math" w:hAnsi="Cambria Math" w:cs="Times New Roman"/>
                  <w:color w:val="000000" w:themeColor="text1"/>
                  <w:sz w:val="20"/>
                  <w:szCs w:val="20"/>
                </w:rPr>
              </m:ctrlPr>
            </m:fPr>
            <m:num>
              <m:r>
                <w:rPr>
                  <w:rFonts w:ascii="Cambria Math" w:hAnsi="Cambria Math" w:cs="Times New Roman"/>
                  <w:color w:val="000000" w:themeColor="text1"/>
                  <w:sz w:val="20"/>
                  <w:szCs w:val="20"/>
                </w:rPr>
                <m:t>L</m:t>
              </m:r>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HA</m:t>
                  </m:r>
                </m:e>
              </m:d>
              <m:r>
                <w:rPr>
                  <w:rFonts w:ascii="Cambria Math" w:hAnsi="Cambria Math" w:cs="Times New Roman"/>
                  <w:color w:val="000000" w:themeColor="text1"/>
                  <w:sz w:val="20"/>
                  <w:szCs w:val="20"/>
                </w:rPr>
                <m:t>-[</m:t>
              </m:r>
              <m:sSup>
                <m:sSupPr>
                  <m:ctrlPr>
                    <w:rPr>
                      <w:rFonts w:ascii="Cambria Math" w:hAnsi="Cambria Math" w:cs="Times New Roman"/>
                      <w:color w:val="000000" w:themeColor="text1"/>
                      <w:sz w:val="20"/>
                      <w:szCs w:val="20"/>
                    </w:rPr>
                  </m:ctrlPr>
                </m:sSupPr>
                <m:e>
                  <m:r>
                    <w:rPr>
                      <w:rFonts w:ascii="Cambria Math" w:hAnsi="Cambria Math" w:cs="Times New Roman"/>
                      <w:color w:val="000000" w:themeColor="text1"/>
                      <w:sz w:val="20"/>
                      <w:szCs w:val="20"/>
                    </w:rPr>
                    <m:t>A</m:t>
                  </m:r>
                </m:e>
                <m:sup>
                  <m:r>
                    <w:rPr>
                      <w:rFonts w:ascii="Cambria Math" w:hAnsi="Cambria Math" w:cs="Times New Roman"/>
                      <w:color w:val="000000" w:themeColor="text1"/>
                      <w:sz w:val="20"/>
                      <w:szCs w:val="20"/>
                    </w:rPr>
                    <m:t>-</m:t>
                  </m:r>
                </m:sup>
              </m:sSup>
              <m:r>
                <w:rPr>
                  <w:rFonts w:ascii="Cambria Math" w:hAnsi="Cambria Math" w:cs="Times New Roman"/>
                  <w:color w:val="000000" w:themeColor="text1"/>
                  <w:sz w:val="20"/>
                  <w:szCs w:val="20"/>
                </w:rPr>
                <m:t>]</m:t>
              </m:r>
            </m:num>
            <m:den>
              <m:r>
                <w:rPr>
                  <w:rFonts w:ascii="Cambria Math" w:hAnsi="Cambria Math" w:cs="Times New Roman"/>
                  <w:color w:val="000000" w:themeColor="text1"/>
                  <w:sz w:val="20"/>
                  <w:szCs w:val="20"/>
                </w:rPr>
                <m:t>-(L+1)</m:t>
              </m:r>
            </m:den>
          </m:f>
          <w:bookmarkStart w:id="94" w:name="OLE_LINK415"/>
          <w:bookmarkStart w:id="95" w:name="OLE_LINK489"/>
          <w:bookmarkStart w:id="96" w:name="OLE_LINK63"/>
          <w:bookmarkStart w:id="97" w:name="OLE_LINK68"/>
          <m:r>
            <w:rPr>
              <w:rFonts w:ascii="Cambria Math" w:hAnsi="Cambria Math" w:cs="Times New Roman"/>
              <w:color w:val="000000" w:themeColor="text1"/>
              <w:sz w:val="20"/>
              <w:szCs w:val="20"/>
            </w:rPr>
            <m:t xml:space="preserve">      —</m:t>
          </m:r>
          <m:r>
            <m:rPr>
              <m:sty m:val="bi"/>
            </m:rPr>
            <w:rPr>
              <w:rFonts w:ascii="Cambria Math" w:hAnsi="Cambria Math" w:cs="Times New Roman"/>
              <w:color w:val="000000" w:themeColor="text1"/>
              <w:sz w:val="20"/>
              <w:szCs w:val="20"/>
            </w:rPr>
            <m:t>(4)</m:t>
          </m:r>
        </m:oMath>
      </m:oMathPara>
      <w:bookmarkEnd w:id="94"/>
      <w:bookmarkEnd w:id="95"/>
    </w:p>
    <w:bookmarkEnd w:id="96"/>
    <w:bookmarkEnd w:id="97"/>
    <w:p w:rsidR="00FD02D4" w:rsidRPr="00FD02D4" w:rsidRDefault="00FD02D4" w:rsidP="00FD02D4">
      <w:pPr>
        <w:pStyle w:val="a7"/>
        <w:spacing w:after="120" w:line="360" w:lineRule="auto"/>
        <w:jc w:val="both"/>
        <w:rPr>
          <w:rFonts w:ascii="Palatino Linotype" w:eastAsia="Times New Roman" w:hAnsi="Palatino Linotype" w:cs="Times New Roman"/>
          <w:i/>
          <w:iCs/>
          <w:color w:val="000000" w:themeColor="text1"/>
          <w:sz w:val="20"/>
          <w:szCs w:val="20"/>
        </w:rPr>
      </w:pPr>
      <w:r w:rsidRPr="00FD02D4">
        <w:rPr>
          <w:rFonts w:ascii="Palatino Linotype" w:eastAsia="Times New Roman" w:hAnsi="Palatino Linotype" w:cs="Times New Roman"/>
          <w:color w:val="000000" w:themeColor="text1"/>
          <w:sz w:val="20"/>
          <w:szCs w:val="20"/>
        </w:rPr>
        <w:t xml:space="preserve">Substituting (1) into (4), we finally get the expression for </w:t>
      </w:r>
      <w:r w:rsidRPr="00FD02D4">
        <w:rPr>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OA</w:t>
      </w:r>
      <w:r w:rsidRPr="00FD02D4">
        <w:rPr>
          <w:rFonts w:ascii="Palatino Linotype" w:eastAsia="Times New Roman" w:hAnsi="Palatino Linotype" w:cs="Times New Roman"/>
          <w:color w:val="000000" w:themeColor="text1"/>
          <w:sz w:val="20"/>
          <w:szCs w:val="20"/>
        </w:rPr>
        <w:t>:</w:t>
      </w:r>
    </w:p>
    <w:p w:rsidR="00FD02D4" w:rsidRPr="00FD02D4" w:rsidRDefault="00FD02D4" w:rsidP="00FD02D4">
      <w:pPr>
        <w:pStyle w:val="a7"/>
        <w:spacing w:after="120" w:line="360" w:lineRule="auto"/>
        <w:jc w:val="both"/>
        <w:rPr>
          <w:rFonts w:ascii="Palatino Linotype" w:eastAsia="Times New Roman" w:hAnsi="Palatino Linotype" w:cs="Times New Roman"/>
          <w:b/>
          <w:i/>
          <w:iCs/>
          <w:color w:val="000000" w:themeColor="text1"/>
          <w:sz w:val="20"/>
          <w:szCs w:val="20"/>
        </w:rPr>
      </w:pPr>
      <m:oMathPara>
        <m:oMathParaPr>
          <m:jc m:val="left"/>
        </m:oMathParaPr>
        <m:oMath>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OA</m:t>
              </m:r>
            </m:sub>
          </m:sSub>
          <m:r>
            <w:rPr>
              <w:rFonts w:ascii="Cambria Math" w:hAnsi="Cambria Math" w:cs="Times New Roman"/>
              <w:color w:val="000000" w:themeColor="text1"/>
              <w:sz w:val="20"/>
              <w:szCs w:val="20"/>
            </w:rPr>
            <m:t>=</m:t>
          </m:r>
          <m:f>
            <m:fPr>
              <m:ctrlPr>
                <w:rPr>
                  <w:rFonts w:ascii="Cambria Math" w:hAnsi="Cambria Math" w:cs="Times New Roman"/>
                  <w:color w:val="000000" w:themeColor="text1"/>
                  <w:sz w:val="20"/>
                  <w:szCs w:val="20"/>
                </w:rPr>
              </m:ctrlPr>
            </m:fPr>
            <m:num>
              <m:r>
                <w:rPr>
                  <w:rFonts w:ascii="Cambria Math" w:hAnsi="Cambria Math" w:cs="Times New Roman"/>
                  <w:color w:val="000000" w:themeColor="text1"/>
                  <w:sz w:val="20"/>
                  <w:szCs w:val="20"/>
                </w:rPr>
                <m:t>L</m:t>
              </m:r>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HA</m:t>
                  </m:r>
                </m:e>
              </m:d>
              <m:r>
                <w:rPr>
                  <w:rFonts w:ascii="Cambria Math" w:hAnsi="Cambria Math" w:cs="Times New Roman"/>
                  <w:color w:val="000000" w:themeColor="text1"/>
                  <w:sz w:val="20"/>
                  <w:szCs w:val="20"/>
                </w:rPr>
                <m:t>-[</m:t>
              </m:r>
              <m:sSup>
                <m:sSupPr>
                  <m:ctrlPr>
                    <w:rPr>
                      <w:rFonts w:ascii="Cambria Math" w:hAnsi="Cambria Math" w:cs="Times New Roman"/>
                      <w:color w:val="000000" w:themeColor="text1"/>
                      <w:sz w:val="20"/>
                      <w:szCs w:val="20"/>
                    </w:rPr>
                  </m:ctrlPr>
                </m:sSupPr>
                <m:e>
                  <m:r>
                    <w:rPr>
                      <w:rFonts w:ascii="Cambria Math" w:hAnsi="Cambria Math" w:cs="Times New Roman"/>
                      <w:color w:val="000000" w:themeColor="text1"/>
                      <w:sz w:val="20"/>
                      <w:szCs w:val="20"/>
                    </w:rPr>
                    <m:t>A</m:t>
                  </m:r>
                </m:e>
                <m:sup>
                  <m:r>
                    <w:rPr>
                      <w:rFonts w:ascii="Cambria Math" w:hAnsi="Cambria Math" w:cs="Times New Roman"/>
                      <w:color w:val="000000" w:themeColor="text1"/>
                      <w:sz w:val="20"/>
                      <w:szCs w:val="20"/>
                    </w:rPr>
                    <m:t>-</m:t>
                  </m:r>
                </m:sup>
              </m:sSup>
              <m:r>
                <w:rPr>
                  <w:rFonts w:ascii="Cambria Math" w:hAnsi="Cambria Math" w:cs="Times New Roman"/>
                  <w:color w:val="000000" w:themeColor="text1"/>
                  <w:sz w:val="20"/>
                  <w:szCs w:val="20"/>
                </w:rPr>
                <m:t>]</m:t>
              </m:r>
            </m:num>
            <m:den>
              <m:r>
                <w:rPr>
                  <w:rFonts w:ascii="Cambria Math" w:hAnsi="Cambria Math" w:cs="Times New Roman"/>
                  <w:color w:val="000000" w:themeColor="text1"/>
                  <w:sz w:val="20"/>
                  <w:szCs w:val="20"/>
                </w:rPr>
                <m:t>-(L+1)</m:t>
              </m:r>
            </m:den>
          </m:f>
          <m:r>
            <w:rPr>
              <w:rFonts w:ascii="Cambria Math" w:hAnsi="Cambria Math" w:cs="Times New Roman"/>
              <w:color w:val="000000" w:themeColor="text1"/>
              <w:sz w:val="20"/>
              <w:szCs w:val="20"/>
            </w:rPr>
            <m:t>-</m:t>
          </m:r>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N</m:t>
              </m:r>
            </m:sub>
          </m:sSub>
          <m:r>
            <w:rPr>
              <w:rFonts w:ascii="Cambria Math" w:hAnsi="Cambria Math" w:cs="Times New Roman"/>
              <w:color w:val="000000" w:themeColor="text1"/>
              <w:sz w:val="20"/>
              <w:szCs w:val="20"/>
            </w:rPr>
            <m:t xml:space="preserve">      —</m:t>
          </m:r>
          <m:r>
            <m:rPr>
              <m:sty m:val="bi"/>
            </m:rPr>
            <w:rPr>
              <w:rFonts w:ascii="Cambria Math" w:hAnsi="Cambria Math" w:cs="Times New Roman"/>
              <w:color w:val="000000" w:themeColor="text1"/>
              <w:sz w:val="20"/>
              <w:szCs w:val="20"/>
            </w:rPr>
            <m:t>(5)</m:t>
          </m:r>
        </m:oMath>
      </m:oMathPara>
    </w:p>
    <w:p w:rsidR="00FD02D4" w:rsidRPr="00FD02D4" w:rsidRDefault="00FD02D4" w:rsidP="00FD02D4">
      <w:pPr>
        <w:spacing w:after="120" w:line="360" w:lineRule="auto"/>
        <w:rPr>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Both acetic acid and malic acid contribute to the generation hydronium ions, therefore:</w:t>
      </w:r>
    </w:p>
    <w:p w:rsidR="00FD02D4" w:rsidRPr="00FD02D4" w:rsidRDefault="00FD02D4" w:rsidP="00FD02D4">
      <w:pPr>
        <w:pStyle w:val="a7"/>
        <w:spacing w:after="120" w:line="360" w:lineRule="auto"/>
        <w:jc w:val="both"/>
        <w:rPr>
          <w:rFonts w:ascii="Palatino Linotype" w:eastAsia="Times New Roman" w:hAnsi="Palatino Linotype" w:cs="Times New Roman"/>
          <w:b/>
          <w:i/>
          <w:iCs/>
          <w:color w:val="000000" w:themeColor="text1"/>
          <w:sz w:val="20"/>
          <w:szCs w:val="20"/>
        </w:rPr>
      </w:pPr>
      <m:oMathPara>
        <m:oMathParaPr>
          <m:jc m:val="left"/>
        </m:oMathParaPr>
        <m:oMath>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OA</m:t>
              </m:r>
            </m:sub>
          </m:sSub>
          <m:r>
            <w:rPr>
              <w:rFonts w:ascii="Cambria Math" w:hAnsi="Cambria Math" w:cs="Times New Roman"/>
              <w:color w:val="000000" w:themeColor="text1"/>
              <w:sz w:val="20"/>
              <w:szCs w:val="20"/>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AC</m:t>
              </m:r>
            </m:sub>
          </m:sSub>
          <m:r>
            <w:rPr>
              <w:rFonts w:ascii="Cambria Math" w:hAnsi="Cambria Math" w:cs="Times New Roman"/>
              <w:color w:val="000000" w:themeColor="text1"/>
              <w:sz w:val="20"/>
              <w:szCs w:val="20"/>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MAL</m:t>
              </m:r>
            </m:sub>
          </m:sSub>
          <m:r>
            <w:rPr>
              <w:rFonts w:ascii="Cambria Math" w:hAnsi="Cambria Math" w:cs="Times New Roman"/>
              <w:color w:val="000000" w:themeColor="text1"/>
              <w:sz w:val="20"/>
              <w:szCs w:val="20"/>
            </w:rPr>
            <m:t xml:space="preserve">      —</m:t>
          </m:r>
          <m:r>
            <m:rPr>
              <m:sty m:val="bi"/>
            </m:rPr>
            <w:rPr>
              <w:rFonts w:ascii="Cambria Math" w:hAnsi="Cambria Math" w:cs="Times New Roman"/>
              <w:color w:val="000000" w:themeColor="text1"/>
              <w:sz w:val="20"/>
              <w:szCs w:val="20"/>
            </w:rPr>
            <m:t>(6)</m:t>
          </m:r>
        </m:oMath>
      </m:oMathPara>
    </w:p>
    <w:p w:rsidR="00FD02D4" w:rsidRPr="00FD02D4" w:rsidRDefault="00FD02D4" w:rsidP="00FD02D4">
      <w:pPr>
        <w:spacing w:after="120" w:line="360" w:lineRule="auto"/>
        <w:jc w:val="both"/>
        <w:rPr>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 xml:space="preserve">Where </w:t>
      </w:r>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MAL</w:t>
      </w:r>
      <w:r w:rsidRPr="00FD02D4">
        <w:rPr>
          <w:rStyle w:val="apple-converted-space"/>
          <w:rFonts w:ascii="Palatino Linotype" w:hAnsi="Palatino Linotype" w:cs="Times New Roman"/>
          <w:color w:val="000000" w:themeColor="text1"/>
          <w:sz w:val="20"/>
          <w:szCs w:val="20"/>
          <w:shd w:val="clear" w:color="auto" w:fill="FFFFFF"/>
        </w:rPr>
        <w:t xml:space="preserve"> and [H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AC</w:t>
      </w:r>
      <w:r w:rsidRPr="00FD02D4">
        <w:rPr>
          <w:rStyle w:val="apple-converted-space"/>
          <w:rFonts w:ascii="Palatino Linotype" w:hAnsi="Palatino Linotype" w:cs="Times New Roman"/>
          <w:color w:val="000000" w:themeColor="text1"/>
          <w:sz w:val="20"/>
          <w:szCs w:val="20"/>
          <w:shd w:val="clear" w:color="auto" w:fill="FFFFFF"/>
        </w:rPr>
        <w:t xml:space="preserve"> stand for the concentrations of the hydronium ions dissociated from malic acid and acetic acid respectively. Since both acids are weak acids, the equations of acid dissolutions apply:</w:t>
      </w:r>
    </w:p>
    <w:p w:rsidR="00FD02D4" w:rsidRPr="00FD02D4" w:rsidRDefault="0033302D" w:rsidP="00FD02D4">
      <w:pPr>
        <w:pStyle w:val="a7"/>
        <w:spacing w:after="120" w:line="360" w:lineRule="auto"/>
        <w:jc w:val="both"/>
        <w:rPr>
          <w:rFonts w:ascii="Palatino Linotype" w:eastAsia="Times New Roman" w:hAnsi="Palatino Linotype" w:cs="Times New Roman"/>
          <w:b/>
          <w:i/>
          <w:iCs/>
          <w:color w:val="000000" w:themeColor="text1"/>
          <w:sz w:val="20"/>
          <w:szCs w:val="20"/>
        </w:rPr>
      </w:pPr>
      <m:oMathPara>
        <m:oMathParaPr>
          <m:jc m:val="left"/>
        </m:oMathParaPr>
        <m:oMath>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Ka</m:t>
              </m:r>
            </m:e>
            <m:sub>
              <m:r>
                <w:rPr>
                  <w:rFonts w:ascii="Cambria Math" w:hAnsi="Cambria Math" w:cs="Times New Roman"/>
                  <w:noProof/>
                  <w:color w:val="000000" w:themeColor="text1"/>
                  <w:sz w:val="20"/>
                  <w:szCs w:val="20"/>
                  <w:shd w:val="clear" w:color="auto" w:fill="FFFFFF"/>
                </w:rPr>
                <m:t>MAL</m:t>
              </m:r>
            </m:sub>
          </m:sSub>
          <m:r>
            <w:rPr>
              <w:rFonts w:ascii="Cambria Math" w:eastAsia="Times New Roman" w:hAnsi="Cambria Math" w:cs="Times New Roman"/>
              <w:color w:val="000000" w:themeColor="text1"/>
              <w:sz w:val="20"/>
              <w:szCs w:val="20"/>
            </w:rPr>
            <m:t>=</m:t>
          </m:r>
          <m:f>
            <m:fPr>
              <m:ctrlPr>
                <w:rPr>
                  <w:rFonts w:ascii="Cambria Math" w:hAnsi="Cambria Math" w:cs="Times New Roman"/>
                  <w:color w:val="000000" w:themeColor="text1"/>
                  <w:sz w:val="20"/>
                  <w:szCs w:val="20"/>
                </w:rPr>
              </m:ctrlPr>
            </m:fPr>
            <m:num>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MAL</m:t>
                      </m:r>
                    </m:sub>
                  </m:sSub>
                </m:e>
                <m:sup>
                  <m:r>
                    <w:rPr>
                      <w:rFonts w:ascii="Cambria Math" w:hAnsi="Cambria Math" w:cs="Times New Roman"/>
                      <w:noProof/>
                      <w:color w:val="000000" w:themeColor="text1"/>
                      <w:sz w:val="20"/>
                      <w:szCs w:val="20"/>
                      <w:shd w:val="clear" w:color="auto" w:fill="FFFFFF"/>
                    </w:rPr>
                    <m:t>2</m:t>
                  </m:r>
                </m:sup>
              </m:sSup>
            </m:num>
            <m:den>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MAL</m:t>
                  </m:r>
                </m:e>
              </m:d>
              <m:r>
                <w:rPr>
                  <w:rFonts w:ascii="Cambria Math" w:hAnsi="Cambria Math" w:cs="Times New Roman"/>
                  <w:color w:val="000000" w:themeColor="text1"/>
                  <w:sz w:val="20"/>
                  <w:szCs w:val="20"/>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MAL</m:t>
                  </m:r>
                </m:sub>
              </m:sSub>
            </m:den>
          </m:f>
          <m:r>
            <w:rPr>
              <w:rFonts w:ascii="Cambria Math" w:hAnsi="Cambria Math" w:cs="Times New Roman"/>
              <w:color w:val="000000" w:themeColor="text1"/>
              <w:sz w:val="20"/>
              <w:szCs w:val="20"/>
            </w:rPr>
            <m:t xml:space="preserve">      —</m:t>
          </m:r>
          <m:r>
            <m:rPr>
              <m:sty m:val="bi"/>
            </m:rPr>
            <w:rPr>
              <w:rFonts w:ascii="Cambria Math" w:hAnsi="Cambria Math" w:cs="Times New Roman"/>
              <w:color w:val="000000" w:themeColor="text1"/>
              <w:sz w:val="20"/>
              <w:szCs w:val="20"/>
            </w:rPr>
            <m:t>(7)</m:t>
          </m:r>
        </m:oMath>
      </m:oMathPara>
    </w:p>
    <w:p w:rsidR="00FD02D4" w:rsidRPr="00FD02D4" w:rsidRDefault="0033302D" w:rsidP="00FD02D4">
      <w:pPr>
        <w:pStyle w:val="a7"/>
        <w:spacing w:after="120" w:line="360" w:lineRule="auto"/>
        <w:jc w:val="both"/>
        <w:rPr>
          <w:rFonts w:ascii="Palatino Linotype" w:eastAsia="Times New Roman" w:hAnsi="Palatino Linotype" w:cs="Times New Roman"/>
          <w:b/>
          <w:i/>
          <w:iCs/>
          <w:color w:val="000000" w:themeColor="text1"/>
          <w:sz w:val="20"/>
          <w:szCs w:val="20"/>
        </w:rPr>
      </w:pPr>
      <m:oMathPara>
        <m:oMathParaPr>
          <m:jc m:val="left"/>
        </m:oMathParaPr>
        <m:oMath>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Ka</m:t>
              </m:r>
            </m:e>
            <m:sub>
              <m:r>
                <w:rPr>
                  <w:rFonts w:ascii="Cambria Math" w:hAnsi="Cambria Math" w:cs="Times New Roman"/>
                  <w:noProof/>
                  <w:color w:val="000000" w:themeColor="text1"/>
                  <w:sz w:val="20"/>
                  <w:szCs w:val="20"/>
                  <w:shd w:val="clear" w:color="auto" w:fill="FFFFFF"/>
                </w:rPr>
                <m:t>AC</m:t>
              </m:r>
            </m:sub>
          </m:sSub>
          <m:r>
            <w:rPr>
              <w:rFonts w:ascii="Cambria Math" w:eastAsia="Times New Roman" w:hAnsi="Cambria Math" w:cs="Times New Roman"/>
              <w:color w:val="000000" w:themeColor="text1"/>
              <w:sz w:val="20"/>
              <w:szCs w:val="20"/>
            </w:rPr>
            <m:t>=</m:t>
          </m:r>
          <m:f>
            <m:fPr>
              <m:ctrlPr>
                <w:rPr>
                  <w:rFonts w:ascii="Cambria Math" w:hAnsi="Cambria Math" w:cs="Times New Roman"/>
                  <w:color w:val="000000" w:themeColor="text1"/>
                  <w:sz w:val="20"/>
                  <w:szCs w:val="20"/>
                </w:rPr>
              </m:ctrlPr>
            </m:fPr>
            <m:num>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AC</m:t>
                      </m:r>
                    </m:sub>
                  </m:sSub>
                </m:e>
                <m:sup>
                  <m:r>
                    <w:rPr>
                      <w:rFonts w:ascii="Cambria Math" w:hAnsi="Cambria Math" w:cs="Times New Roman"/>
                      <w:noProof/>
                      <w:color w:val="000000" w:themeColor="text1"/>
                      <w:sz w:val="20"/>
                      <w:szCs w:val="20"/>
                      <w:shd w:val="clear" w:color="auto" w:fill="FFFFFF"/>
                    </w:rPr>
                    <m:t>2</m:t>
                  </m:r>
                </m:sup>
              </m:sSup>
            </m:num>
            <m:den>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AC</m:t>
                  </m:r>
                </m:e>
              </m:d>
              <m:r>
                <w:rPr>
                  <w:rFonts w:ascii="Cambria Math" w:hAnsi="Cambria Math" w:cs="Times New Roman"/>
                  <w:color w:val="000000" w:themeColor="text1"/>
                  <w:sz w:val="20"/>
                  <w:szCs w:val="20"/>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AC</m:t>
                  </m:r>
                </m:sub>
              </m:sSub>
            </m:den>
          </m:f>
          <m:r>
            <w:rPr>
              <w:rFonts w:ascii="Cambria Math" w:hAnsi="Cambria Math" w:cs="Times New Roman"/>
              <w:color w:val="000000" w:themeColor="text1"/>
              <w:sz w:val="20"/>
              <w:szCs w:val="20"/>
            </w:rPr>
            <m:t xml:space="preserve">      —</m:t>
          </m:r>
          <m:r>
            <m:rPr>
              <m:sty m:val="bi"/>
            </m:rPr>
            <w:rPr>
              <w:rFonts w:ascii="Cambria Math" w:hAnsi="Cambria Math" w:cs="Times New Roman"/>
              <w:color w:val="000000" w:themeColor="text1"/>
              <w:sz w:val="20"/>
              <w:szCs w:val="20"/>
            </w:rPr>
            <m:t>(8)</m:t>
          </m:r>
        </m:oMath>
      </m:oMathPara>
    </w:p>
    <w:p w:rsidR="00FD02D4" w:rsidRPr="00FD02D4" w:rsidRDefault="00FD02D4" w:rsidP="00FD02D4">
      <w:pPr>
        <w:spacing w:after="120" w:line="360" w:lineRule="auto"/>
        <w:jc w:val="both"/>
        <w:rPr>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Where [MAL] and [AC] represent the amount of malic acid and acetic acid produced respectively, while Ka</w:t>
      </w:r>
      <w:r w:rsidRPr="00FD02D4">
        <w:rPr>
          <w:rFonts w:ascii="Palatino Linotype" w:hAnsi="Palatino Linotype" w:cs="Times New Roman"/>
          <w:color w:val="000000" w:themeColor="text1"/>
          <w:sz w:val="20"/>
          <w:szCs w:val="20"/>
          <w:vertAlign w:val="subscript"/>
        </w:rPr>
        <w:t>MAL</w:t>
      </w:r>
      <w:r w:rsidRPr="00FD02D4">
        <w:rPr>
          <w:rFonts w:ascii="Palatino Linotype" w:hAnsi="Palatino Linotype" w:cs="Times New Roman"/>
          <w:color w:val="000000" w:themeColor="text1"/>
          <w:sz w:val="20"/>
          <w:szCs w:val="20"/>
        </w:rPr>
        <w:t xml:space="preserve"> and Ka</w:t>
      </w:r>
      <w:r w:rsidRPr="00FD02D4">
        <w:rPr>
          <w:rFonts w:ascii="Palatino Linotype" w:hAnsi="Palatino Linotype" w:cs="Times New Roman"/>
          <w:color w:val="000000" w:themeColor="text1"/>
          <w:sz w:val="20"/>
          <w:szCs w:val="20"/>
          <w:vertAlign w:val="subscript"/>
        </w:rPr>
        <w:t>AC</w:t>
      </w:r>
      <w:r w:rsidRPr="00FD02D4">
        <w:rPr>
          <w:rFonts w:ascii="Palatino Linotype" w:hAnsi="Palatino Linotype" w:cs="Times New Roman"/>
          <w:color w:val="000000" w:themeColor="text1"/>
          <w:sz w:val="20"/>
          <w:szCs w:val="20"/>
        </w:rPr>
        <w:t xml:space="preserve"> stand for their dissociation constants. Furthermore, we can assume that both acids are produced in a fixed proportion R according to HPLC measurements: </w:t>
      </w:r>
      <m:oMath>
        <m:r>
          <m:rPr>
            <m:sty m:val="p"/>
          </m:rPr>
          <w:rPr>
            <w:rFonts w:ascii="Cambria Math" w:hAnsi="Cambria Math" w:cs="Times New Roman"/>
            <w:noProof/>
            <w:color w:val="000000" w:themeColor="text1"/>
            <w:sz w:val="20"/>
            <w:szCs w:val="20"/>
            <w:shd w:val="clear" w:color="auto" w:fill="FFFFFF"/>
          </w:rPr>
          <w:br/>
        </m:r>
      </m:oMath>
      <m:oMathPara>
        <m:oMathParaPr>
          <m:jc m:val="left"/>
        </m:oMathParaPr>
        <m:oMath>
          <m:r>
            <w:rPr>
              <w:rFonts w:ascii="Cambria Math" w:hAnsi="Cambria Math" w:cs="Times New Roman"/>
              <w:noProof/>
              <w:color w:val="000000" w:themeColor="text1"/>
              <w:sz w:val="20"/>
              <w:szCs w:val="20"/>
              <w:shd w:val="clear" w:color="auto" w:fill="FFFFFF"/>
            </w:rPr>
            <m:t>R</m:t>
          </m:r>
          <m:r>
            <w:rPr>
              <w:rFonts w:ascii="Cambria Math" w:eastAsia="Times New Roman" w:hAnsi="Cambria Math" w:cs="Times New Roman"/>
              <w:color w:val="000000" w:themeColor="text1"/>
              <w:sz w:val="20"/>
              <w:szCs w:val="20"/>
            </w:rPr>
            <m:t>=</m:t>
          </m:r>
          <m:f>
            <m:fPr>
              <m:ctrlPr>
                <w:rPr>
                  <w:rFonts w:ascii="Cambria Math" w:hAnsi="Cambria Math" w:cs="Times New Roman"/>
                  <w:color w:val="000000" w:themeColor="text1"/>
                  <w:sz w:val="20"/>
                  <w:szCs w:val="20"/>
                </w:rPr>
              </m:ctrlPr>
            </m:fPr>
            <m:num>
              <m:r>
                <w:rPr>
                  <w:rFonts w:ascii="Cambria Math" w:hAnsi="Cambria Math" w:cs="Times New Roman"/>
                  <w:noProof/>
                  <w:color w:val="000000" w:themeColor="text1"/>
                  <w:sz w:val="20"/>
                  <w:szCs w:val="20"/>
                  <w:shd w:val="clear" w:color="auto" w:fill="FFFFFF"/>
                </w:rPr>
                <m:t>[MAL]</m:t>
              </m:r>
            </m:num>
            <m:den>
              <m:r>
                <w:rPr>
                  <w:rFonts w:ascii="Cambria Math" w:hAnsi="Cambria Math" w:cs="Times New Roman"/>
                  <w:noProof/>
                  <w:color w:val="000000" w:themeColor="text1"/>
                  <w:sz w:val="20"/>
                  <w:szCs w:val="20"/>
                  <w:shd w:val="clear" w:color="auto" w:fill="FFFFFF"/>
                </w:rPr>
                <m:t>[AC]</m:t>
              </m:r>
            </m:den>
          </m:f>
          <m:r>
            <w:rPr>
              <w:rFonts w:ascii="Cambria Math" w:hAnsi="Cambria Math" w:cs="Times New Roman"/>
              <w:color w:val="000000" w:themeColor="text1"/>
              <w:sz w:val="20"/>
              <w:szCs w:val="20"/>
            </w:rPr>
            <m:t xml:space="preserve">      —</m:t>
          </m:r>
          <m:r>
            <m:rPr>
              <m:sty m:val="bi"/>
            </m:rPr>
            <w:rPr>
              <w:rFonts w:ascii="Cambria Math" w:hAnsi="Cambria Math" w:cs="Times New Roman"/>
              <w:color w:val="000000" w:themeColor="text1"/>
              <w:sz w:val="20"/>
              <w:szCs w:val="20"/>
            </w:rPr>
            <m:t>(9)</m:t>
          </m:r>
        </m:oMath>
      </m:oMathPara>
    </w:p>
    <w:p w:rsidR="00FD02D4" w:rsidRPr="00FD02D4" w:rsidRDefault="00FD02D4" w:rsidP="00FD02D4">
      <w:pPr>
        <w:spacing w:after="120" w:line="360" w:lineRule="auto"/>
        <w:rPr>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Substituting (</w:t>
      </w:r>
      <w:r w:rsidRPr="00FD02D4">
        <w:rPr>
          <w:rFonts w:ascii="Palatino Linotype" w:hAnsi="Palatino Linotype" w:cs="Times New Roman"/>
          <w:b/>
          <w:color w:val="000000" w:themeColor="text1"/>
          <w:sz w:val="20"/>
          <w:szCs w:val="20"/>
        </w:rPr>
        <w:t>6</w:t>
      </w:r>
      <w:r w:rsidRPr="00FD02D4">
        <w:rPr>
          <w:rFonts w:ascii="Palatino Linotype" w:hAnsi="Palatino Linotype" w:cs="Times New Roman"/>
          <w:color w:val="000000" w:themeColor="text1"/>
          <w:sz w:val="20"/>
          <w:szCs w:val="20"/>
        </w:rPr>
        <w:t>) and (</w:t>
      </w:r>
      <w:r w:rsidRPr="00FD02D4">
        <w:rPr>
          <w:rFonts w:ascii="Palatino Linotype" w:hAnsi="Palatino Linotype" w:cs="Times New Roman"/>
          <w:b/>
          <w:color w:val="000000" w:themeColor="text1"/>
          <w:sz w:val="20"/>
          <w:szCs w:val="20"/>
        </w:rPr>
        <w:t>9</w:t>
      </w:r>
      <w:r w:rsidRPr="00FD02D4">
        <w:rPr>
          <w:rFonts w:ascii="Palatino Linotype" w:hAnsi="Palatino Linotype" w:cs="Times New Roman"/>
          <w:color w:val="000000" w:themeColor="text1"/>
          <w:sz w:val="20"/>
          <w:szCs w:val="20"/>
        </w:rPr>
        <w:t>) into (</w:t>
      </w:r>
      <w:r w:rsidRPr="00FD02D4">
        <w:rPr>
          <w:rFonts w:ascii="Palatino Linotype" w:hAnsi="Palatino Linotype" w:cs="Times New Roman"/>
          <w:b/>
          <w:color w:val="000000" w:themeColor="text1"/>
          <w:sz w:val="20"/>
          <w:szCs w:val="20"/>
        </w:rPr>
        <w:t>7</w:t>
      </w:r>
      <w:r w:rsidRPr="00FD02D4">
        <w:rPr>
          <w:rFonts w:ascii="Palatino Linotype" w:hAnsi="Palatino Linotype" w:cs="Times New Roman"/>
          <w:color w:val="000000" w:themeColor="text1"/>
          <w:sz w:val="20"/>
          <w:szCs w:val="20"/>
        </w:rPr>
        <w:t>), we get:</w:t>
      </w:r>
    </w:p>
    <w:p w:rsidR="00FD02D4" w:rsidRPr="00FD02D4" w:rsidRDefault="0033302D" w:rsidP="00FD02D4">
      <w:pPr>
        <w:pStyle w:val="a7"/>
        <w:spacing w:after="120" w:line="360" w:lineRule="auto"/>
        <w:jc w:val="both"/>
        <w:rPr>
          <w:rFonts w:ascii="Palatino Linotype" w:eastAsia="Times New Roman" w:hAnsi="Palatino Linotype" w:cs="Times New Roman"/>
          <w:b/>
          <w:i/>
          <w:iCs/>
          <w:color w:val="000000" w:themeColor="text1"/>
          <w:sz w:val="20"/>
          <w:szCs w:val="20"/>
        </w:rPr>
      </w:pPr>
      <m:oMathPara>
        <m:oMathParaPr>
          <m:jc m:val="left"/>
        </m:oMathParaPr>
        <m:oMath>
          <m:d>
            <m:dPr>
              <m:begChr m:val="["/>
              <m:endChr m:val="]"/>
              <m:ctrlPr>
                <w:rPr>
                  <w:rFonts w:ascii="Cambria Math" w:hAnsi="Cambria Math" w:cs="Times New Roman"/>
                  <w:noProof/>
                  <w:color w:val="000000" w:themeColor="text1"/>
                  <w:sz w:val="20"/>
                  <w:szCs w:val="20"/>
                  <w:shd w:val="clear" w:color="auto" w:fill="FFFFFF"/>
                </w:rPr>
              </m:ctrlPr>
            </m:dPr>
            <m:e>
              <m:r>
                <w:rPr>
                  <w:rFonts w:ascii="Cambria Math" w:hAnsi="Cambria Math" w:cs="Times New Roman"/>
                  <w:noProof/>
                  <w:color w:val="000000" w:themeColor="text1"/>
                  <w:sz w:val="20"/>
                  <w:szCs w:val="20"/>
                  <w:shd w:val="clear" w:color="auto" w:fill="FFFFFF"/>
                </w:rPr>
                <m:t>AC</m:t>
              </m:r>
            </m:e>
          </m:d>
          <m:r>
            <w:rPr>
              <w:rFonts w:ascii="Cambria Math" w:eastAsia="Times New Roman" w:hAnsi="Cambria Math" w:cs="Times New Roman"/>
              <w:color w:val="000000" w:themeColor="text1"/>
              <w:sz w:val="20"/>
              <w:szCs w:val="20"/>
            </w:rPr>
            <m:t>=</m:t>
          </m:r>
          <m:f>
            <m:fPr>
              <m:ctrlPr>
                <w:rPr>
                  <w:rFonts w:ascii="Cambria Math" w:hAnsi="Cambria Math" w:cs="Times New Roman"/>
                  <w:color w:val="000000" w:themeColor="text1"/>
                  <w:sz w:val="20"/>
                  <w:szCs w:val="20"/>
                </w:rPr>
              </m:ctrlPr>
            </m:fPr>
            <m:num>
              <m:sSup>
                <m:sSupPr>
                  <m:ctrlPr>
                    <w:rPr>
                      <w:rFonts w:ascii="Cambria Math" w:hAnsi="Cambria Math" w:cs="Times New Roman"/>
                      <w:noProof/>
                      <w:color w:val="000000" w:themeColor="text1"/>
                      <w:sz w:val="20"/>
                      <w:szCs w:val="20"/>
                      <w:shd w:val="clear" w:color="auto" w:fill="FFFFFF"/>
                    </w:rPr>
                  </m:ctrlPr>
                </m:sSupPr>
                <m:e>
                  <m:d>
                    <m:dPr>
                      <m:ctrlPr>
                        <w:rPr>
                          <w:rFonts w:ascii="Cambria Math" w:hAnsi="Cambria Math" w:cs="Times New Roman"/>
                          <w:noProof/>
                          <w:color w:val="000000" w:themeColor="text1"/>
                          <w:sz w:val="20"/>
                          <w:szCs w:val="20"/>
                          <w:shd w:val="clear" w:color="auto" w:fill="FFFFFF"/>
                        </w:rPr>
                      </m:ctrlPr>
                    </m:dPr>
                    <m:e>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OA</m:t>
                          </m:r>
                        </m:sub>
                      </m:sSub>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AC</m:t>
                          </m:r>
                        </m:sub>
                      </m:sSub>
                    </m:e>
                  </m:d>
                </m:e>
                <m:sup>
                  <m:r>
                    <w:rPr>
                      <w:rFonts w:ascii="Cambria Math" w:hAnsi="Cambria Math" w:cs="Times New Roman"/>
                      <w:noProof/>
                      <w:color w:val="000000" w:themeColor="text1"/>
                      <w:sz w:val="20"/>
                      <w:szCs w:val="20"/>
                      <w:shd w:val="clear" w:color="auto" w:fill="FFFFFF"/>
                    </w:rPr>
                    <m:t>2</m:t>
                  </m:r>
                </m:sup>
              </m:sSup>
            </m:num>
            <m:den>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Ka</m:t>
                  </m:r>
                </m:e>
                <m:sub>
                  <m:r>
                    <w:rPr>
                      <w:rFonts w:ascii="Cambria Math" w:hAnsi="Cambria Math" w:cs="Times New Roman"/>
                      <w:noProof/>
                      <w:color w:val="000000" w:themeColor="text1"/>
                      <w:sz w:val="20"/>
                      <w:szCs w:val="20"/>
                      <w:shd w:val="clear" w:color="auto" w:fill="FFFFFF"/>
                    </w:rPr>
                    <m:t>MAL</m:t>
                  </m:r>
                </m:sub>
              </m:sSub>
            </m:den>
          </m:f>
          <m:r>
            <w:rPr>
              <w:rFonts w:ascii="Cambria Math" w:hAnsi="Cambria Math" w:cs="Times New Roman"/>
              <w:color w:val="000000" w:themeColor="text1"/>
              <w:sz w:val="20"/>
              <w:szCs w:val="20"/>
            </w:rPr>
            <m:t>+</m:t>
          </m:r>
          <m:d>
            <m:dPr>
              <m:ctrlPr>
                <w:rPr>
                  <w:rFonts w:ascii="Cambria Math" w:hAnsi="Cambria Math" w:cs="Times New Roman"/>
                  <w:noProof/>
                  <w:color w:val="000000" w:themeColor="text1"/>
                  <w:sz w:val="20"/>
                  <w:szCs w:val="20"/>
                  <w:shd w:val="clear" w:color="auto" w:fill="FFFFFF"/>
                </w:rPr>
              </m:ctrlPr>
            </m:dPr>
            <m:e>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OA</m:t>
                  </m:r>
                </m:sub>
              </m:sSub>
              <m:r>
                <w:rPr>
                  <w:rFonts w:ascii="Cambria Math" w:hAnsi="Cambria Math" w:cs="Times New Roman"/>
                  <w:noProof/>
                  <w:color w:val="000000" w:themeColor="text1"/>
                  <w:sz w:val="20"/>
                  <w:szCs w:val="20"/>
                  <w:shd w:val="clear" w:color="auto" w:fill="FFFFFF"/>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AC</m:t>
                  </m:r>
                </m:sub>
              </m:sSub>
            </m:e>
          </m:d>
          <m:r>
            <w:rPr>
              <w:rFonts w:ascii="Cambria Math" w:hAnsi="Cambria Math" w:cs="Times New Roman"/>
              <w:color w:val="000000" w:themeColor="text1"/>
              <w:sz w:val="20"/>
              <w:szCs w:val="20"/>
            </w:rPr>
            <m:t xml:space="preserve">      —</m:t>
          </m:r>
          <m:r>
            <m:rPr>
              <m:sty m:val="bi"/>
            </m:rPr>
            <w:rPr>
              <w:rFonts w:ascii="Cambria Math" w:hAnsi="Cambria Math" w:cs="Times New Roman"/>
              <w:color w:val="000000" w:themeColor="text1"/>
              <w:sz w:val="20"/>
              <w:szCs w:val="20"/>
            </w:rPr>
            <m:t>(10)</m:t>
          </m:r>
        </m:oMath>
      </m:oMathPara>
    </w:p>
    <w:p w:rsidR="00FD02D4" w:rsidRPr="00FD02D4" w:rsidRDefault="00FD02D4" w:rsidP="00FD02D4">
      <w:pPr>
        <w:spacing w:after="120" w:line="360" w:lineRule="auto"/>
        <w:rPr>
          <w:rStyle w:val="apple-converted-space"/>
          <w:rFonts w:ascii="Palatino Linotype" w:hAnsi="Palatino Linotype" w:cs="Times New Roman"/>
          <w:i/>
          <w:color w:val="000000" w:themeColor="text1"/>
          <w:sz w:val="20"/>
          <w:szCs w:val="20"/>
          <w:shd w:val="clear" w:color="auto" w:fill="FFFFFF"/>
        </w:rPr>
      </w:pPr>
      <w:r w:rsidRPr="00FD02D4">
        <w:rPr>
          <w:rFonts w:ascii="Palatino Linotype" w:hAnsi="Palatino Linotype" w:cs="Times New Roman"/>
          <w:color w:val="000000" w:themeColor="text1"/>
          <w:sz w:val="20"/>
          <w:szCs w:val="20"/>
        </w:rPr>
        <w:t>Also, we can rearrange (</w:t>
      </w:r>
      <w:r w:rsidRPr="00FD02D4">
        <w:rPr>
          <w:rFonts w:ascii="Palatino Linotype" w:hAnsi="Palatino Linotype" w:cs="Times New Roman"/>
          <w:b/>
          <w:color w:val="000000" w:themeColor="text1"/>
          <w:sz w:val="20"/>
          <w:szCs w:val="20"/>
        </w:rPr>
        <w:t>8</w:t>
      </w:r>
      <w:r w:rsidRPr="00FD02D4">
        <w:rPr>
          <w:rFonts w:ascii="Palatino Linotype" w:hAnsi="Palatino Linotype" w:cs="Times New Roman"/>
          <w:color w:val="000000" w:themeColor="text1"/>
          <w:sz w:val="20"/>
          <w:szCs w:val="20"/>
        </w:rPr>
        <w:t xml:space="preserve">) into a quadratic equation with respect to </w:t>
      </w:r>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AC</w:t>
      </w:r>
      <w:r w:rsidRPr="00FD02D4">
        <w:rPr>
          <w:rStyle w:val="apple-converted-space"/>
          <w:rFonts w:ascii="Palatino Linotype" w:hAnsi="Palatino Linotype" w:cs="Times New Roman"/>
          <w:color w:val="000000" w:themeColor="text1"/>
          <w:sz w:val="20"/>
          <w:szCs w:val="20"/>
          <w:shd w:val="clear" w:color="auto" w:fill="FFFFFF"/>
        </w:rPr>
        <w:t xml:space="preserve"> (</w:t>
      </w:r>
      <w:r w:rsidRPr="00FD02D4">
        <w:rPr>
          <w:rStyle w:val="apple-converted-space"/>
          <w:rFonts w:ascii="Palatino Linotype" w:hAnsi="Palatino Linotype" w:cs="Times New Roman"/>
          <w:b/>
          <w:color w:val="000000" w:themeColor="text1"/>
          <w:sz w:val="20"/>
          <w:szCs w:val="20"/>
          <w:shd w:val="clear" w:color="auto" w:fill="FFFFFF"/>
        </w:rPr>
        <w:t>11</w:t>
      </w:r>
      <w:r w:rsidRPr="00FD02D4">
        <w:rPr>
          <w:rStyle w:val="apple-converted-space"/>
          <w:rFonts w:ascii="Palatino Linotype" w:hAnsi="Palatino Linotype" w:cs="Times New Roman"/>
          <w:color w:val="000000" w:themeColor="text1"/>
          <w:sz w:val="20"/>
          <w:szCs w:val="20"/>
          <w:shd w:val="clear" w:color="auto" w:fill="FFFFFF"/>
        </w:rPr>
        <w:t xml:space="preserve">): </w:t>
      </w:r>
    </w:p>
    <w:p w:rsidR="00FD02D4" w:rsidRPr="00FD02D4" w:rsidRDefault="0033302D" w:rsidP="00FD02D4">
      <w:pPr>
        <w:spacing w:after="120" w:line="360" w:lineRule="auto"/>
        <w:rPr>
          <w:rFonts w:ascii="Palatino Linotype" w:hAnsi="Palatino Linotype" w:cs="Times New Roman"/>
          <w:b/>
          <w:i/>
          <w:color w:val="000000" w:themeColor="text1"/>
          <w:sz w:val="20"/>
          <w:szCs w:val="20"/>
        </w:rPr>
      </w:pPr>
      <m:oMathPara>
        <m:oMathParaPr>
          <m:jc m:val="left"/>
        </m:oMathParaPr>
        <m:oMath>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AC</m:t>
                  </m:r>
                </m:sub>
              </m:sSub>
            </m:e>
            <m:sup>
              <m:r>
                <w:rPr>
                  <w:rFonts w:ascii="Cambria Math" w:hAnsi="Cambria Math" w:cs="Times New Roman"/>
                  <w:noProof/>
                  <w:color w:val="000000" w:themeColor="text1"/>
                  <w:sz w:val="20"/>
                  <w:szCs w:val="20"/>
                  <w:shd w:val="clear" w:color="auto" w:fill="FFFFFF"/>
                </w:rPr>
                <m:t>2</m:t>
              </m:r>
            </m:sup>
          </m:sSup>
          <m:r>
            <w:rPr>
              <w:rFonts w:ascii="Cambria Math" w:hAnsi="Cambria Math" w:cs="Times New Roman"/>
              <w:color w:val="000000" w:themeColor="text1"/>
              <w:sz w:val="20"/>
              <w:szCs w:val="20"/>
            </w:rPr>
            <m:t>+</m:t>
          </m:r>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AC</m:t>
              </m:r>
            </m:sub>
          </m:sSub>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Ka</m:t>
              </m:r>
            </m:e>
            <m:sub>
              <m:r>
                <w:rPr>
                  <w:rFonts w:ascii="Cambria Math" w:hAnsi="Cambria Math" w:cs="Times New Roman"/>
                  <w:noProof/>
                  <w:color w:val="000000" w:themeColor="text1"/>
                  <w:sz w:val="20"/>
                  <w:szCs w:val="20"/>
                  <w:shd w:val="clear" w:color="auto" w:fill="FFFFFF"/>
                </w:rPr>
                <m:t>AC</m:t>
              </m:r>
            </m:sub>
          </m:sSub>
          <m:r>
            <w:rPr>
              <w:rFonts w:ascii="Cambria Math" w:hAnsi="Cambria Math" w:cs="Times New Roman"/>
              <w:color w:val="000000" w:themeColor="text1"/>
              <w:sz w:val="20"/>
              <w:szCs w:val="20"/>
            </w:rPr>
            <m:t>-</m:t>
          </m:r>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Ka</m:t>
              </m:r>
            </m:e>
            <m:sub>
              <m:r>
                <w:rPr>
                  <w:rFonts w:ascii="Cambria Math" w:hAnsi="Cambria Math" w:cs="Times New Roman"/>
                  <w:noProof/>
                  <w:color w:val="000000" w:themeColor="text1"/>
                  <w:sz w:val="20"/>
                  <w:szCs w:val="20"/>
                  <w:shd w:val="clear" w:color="auto" w:fill="FFFFFF"/>
                </w:rPr>
                <m:t>AC</m:t>
              </m:r>
            </m:sub>
          </m:sSub>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AC</m:t>
              </m:r>
            </m:e>
          </m:d>
          <m:r>
            <w:rPr>
              <w:rFonts w:ascii="Cambria Math" w:hAnsi="Cambria Math" w:cs="Times New Roman"/>
              <w:color w:val="000000" w:themeColor="text1"/>
              <w:sz w:val="20"/>
              <w:szCs w:val="20"/>
            </w:rPr>
            <m:t>=0       —</m:t>
          </m:r>
          <m:d>
            <m:dPr>
              <m:ctrlPr>
                <w:rPr>
                  <w:rFonts w:ascii="Cambria Math" w:hAnsi="Cambria Math" w:cs="Times New Roman"/>
                  <w:b/>
                  <w:color w:val="000000" w:themeColor="text1"/>
                  <w:sz w:val="20"/>
                  <w:szCs w:val="20"/>
                </w:rPr>
              </m:ctrlPr>
            </m:dPr>
            <m:e>
              <m:r>
                <m:rPr>
                  <m:sty m:val="bi"/>
                </m:rPr>
                <w:rPr>
                  <w:rFonts w:ascii="Cambria Math" w:hAnsi="Cambria Math" w:cs="Times New Roman"/>
                  <w:color w:val="000000" w:themeColor="text1"/>
                  <w:sz w:val="20"/>
                  <w:szCs w:val="20"/>
                </w:rPr>
                <m:t>11</m:t>
              </m:r>
            </m:e>
          </m:d>
        </m:oMath>
      </m:oMathPara>
    </w:p>
    <w:p w:rsidR="00FD02D4" w:rsidRPr="00FD02D4" w:rsidRDefault="00FD02D4" w:rsidP="00FD02D4">
      <w:pPr>
        <w:spacing w:after="120" w:line="360" w:lineRule="auto"/>
        <w:rPr>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The single root for (</w:t>
      </w:r>
      <w:r w:rsidRPr="00FD02D4">
        <w:rPr>
          <w:rFonts w:ascii="Palatino Linotype" w:hAnsi="Palatino Linotype" w:cs="Times New Roman"/>
          <w:b/>
          <w:color w:val="000000" w:themeColor="text1"/>
          <w:sz w:val="20"/>
          <w:szCs w:val="20"/>
        </w:rPr>
        <w:t>11</w:t>
      </w:r>
      <w:r w:rsidRPr="00FD02D4">
        <w:rPr>
          <w:rFonts w:ascii="Palatino Linotype" w:hAnsi="Palatino Linotype" w:cs="Times New Roman"/>
          <w:color w:val="000000" w:themeColor="text1"/>
          <w:sz w:val="20"/>
          <w:szCs w:val="20"/>
        </w:rPr>
        <w:t>) is given by (</w:t>
      </w:r>
      <w:r w:rsidRPr="00FD02D4">
        <w:rPr>
          <w:rFonts w:ascii="Palatino Linotype" w:hAnsi="Palatino Linotype" w:cs="Times New Roman"/>
          <w:b/>
          <w:color w:val="000000" w:themeColor="text1"/>
          <w:sz w:val="20"/>
          <w:szCs w:val="20"/>
        </w:rPr>
        <w:t>12</w:t>
      </w:r>
      <w:r w:rsidRPr="00FD02D4">
        <w:rPr>
          <w:rFonts w:ascii="Palatino Linotype" w:hAnsi="Palatino Linotype" w:cs="Times New Roman"/>
          <w:color w:val="000000" w:themeColor="text1"/>
          <w:sz w:val="20"/>
          <w:szCs w:val="20"/>
        </w:rPr>
        <w:t>):</w:t>
      </w:r>
    </w:p>
    <w:p w:rsidR="00FD02D4" w:rsidRPr="00FD02D4" w:rsidRDefault="0033302D" w:rsidP="00FD02D4">
      <w:pPr>
        <w:spacing w:after="120" w:line="360" w:lineRule="auto"/>
        <w:rPr>
          <w:rFonts w:ascii="Palatino Linotype" w:hAnsi="Palatino Linotype" w:cs="Times New Roman"/>
          <w:b/>
          <w:i/>
          <w:color w:val="000000" w:themeColor="text1"/>
          <w:sz w:val="20"/>
          <w:szCs w:val="20"/>
        </w:rPr>
      </w:pPr>
      <m:oMathPara>
        <m:oMathParaPr>
          <m:jc m:val="left"/>
        </m:oMathParaPr>
        <m:oMath>
          <m:sSub>
            <m:sSubPr>
              <m:ctrlPr>
                <w:rPr>
                  <w:rFonts w:ascii="Cambria Math" w:hAnsi="Cambria Math" w:cs="Times New Roman"/>
                  <w:noProof/>
                  <w:color w:val="000000" w:themeColor="text1"/>
                  <w:sz w:val="20"/>
                  <w:szCs w:val="20"/>
                  <w:shd w:val="clear" w:color="auto" w:fill="FFFFFF"/>
                </w:rPr>
              </m:ctrlPr>
            </m:sSubPr>
            <m:e>
              <m:d>
                <m:dPr>
                  <m:begChr m:val="["/>
                  <m:endChr m:val="]"/>
                  <m:ctrlPr>
                    <w:rPr>
                      <w:rFonts w:ascii="Cambria Math" w:hAnsi="Cambria Math" w:cs="Times New Roman"/>
                      <w:noProof/>
                      <w:color w:val="000000" w:themeColor="text1"/>
                      <w:sz w:val="20"/>
                      <w:szCs w:val="20"/>
                      <w:shd w:val="clear" w:color="auto" w:fill="FFFFFF"/>
                    </w:rPr>
                  </m:ctrlPr>
                </m:dPr>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H</m:t>
                          </m:r>
                        </m:e>
                        <m:sub>
                          <m:r>
                            <w:rPr>
                              <w:rFonts w:ascii="Cambria Math" w:hAnsi="Cambria Math" w:cs="Times New Roman"/>
                              <w:noProof/>
                              <w:color w:val="000000" w:themeColor="text1"/>
                              <w:sz w:val="20"/>
                              <w:szCs w:val="20"/>
                              <w:shd w:val="clear" w:color="auto" w:fill="FFFFFF"/>
                            </w:rPr>
                            <m:t>3</m:t>
                          </m:r>
                        </m:sub>
                      </m:sSub>
                      <m:r>
                        <w:rPr>
                          <w:rFonts w:ascii="Cambria Math" w:hAnsi="Cambria Math" w:cs="Times New Roman"/>
                          <w:noProof/>
                          <w:color w:val="000000" w:themeColor="text1"/>
                          <w:sz w:val="20"/>
                          <w:szCs w:val="20"/>
                          <w:shd w:val="clear" w:color="auto" w:fill="FFFFFF"/>
                        </w:rPr>
                        <m:t>O</m:t>
                      </m:r>
                    </m:e>
                    <m:sup>
                      <m:r>
                        <w:rPr>
                          <w:rFonts w:ascii="Cambria Math" w:hAnsi="Cambria Math" w:cs="Times New Roman"/>
                          <w:noProof/>
                          <w:color w:val="000000" w:themeColor="text1"/>
                          <w:sz w:val="20"/>
                          <w:szCs w:val="20"/>
                          <w:shd w:val="clear" w:color="auto" w:fill="FFFFFF"/>
                        </w:rPr>
                        <m:t>+</m:t>
                      </m:r>
                    </m:sup>
                  </m:sSup>
                </m:e>
              </m:d>
            </m:e>
            <m:sub>
              <m:r>
                <w:rPr>
                  <w:rFonts w:ascii="Cambria Math" w:hAnsi="Cambria Math" w:cs="Times New Roman"/>
                  <w:noProof/>
                  <w:color w:val="000000" w:themeColor="text1"/>
                  <w:sz w:val="20"/>
                  <w:szCs w:val="20"/>
                  <w:shd w:val="clear" w:color="auto" w:fill="FFFFFF"/>
                </w:rPr>
                <m:t>AC</m:t>
              </m:r>
            </m:sub>
          </m:sSub>
          <m:r>
            <w:rPr>
              <w:rFonts w:ascii="Cambria Math" w:hAnsi="Cambria Math" w:cs="Times New Roman"/>
              <w:color w:val="000000" w:themeColor="text1"/>
              <w:sz w:val="20"/>
              <w:szCs w:val="20"/>
            </w:rPr>
            <m:t>=</m:t>
          </m:r>
          <m:f>
            <m:fPr>
              <m:ctrlPr>
                <w:rPr>
                  <w:rFonts w:ascii="Cambria Math" w:hAnsi="Cambria Math" w:cs="Times New Roman"/>
                  <w:color w:val="000000" w:themeColor="text1"/>
                  <w:sz w:val="20"/>
                  <w:szCs w:val="20"/>
                </w:rPr>
              </m:ctrlPr>
            </m:fPr>
            <m:num>
              <m:r>
                <w:rPr>
                  <w:rFonts w:ascii="Cambria Math" w:hAnsi="Cambria Math" w:cs="Times New Roman"/>
                  <w:color w:val="000000" w:themeColor="text1"/>
                  <w:sz w:val="20"/>
                  <w:szCs w:val="20"/>
                </w:rPr>
                <m:t>-</m:t>
              </m:r>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Ka</m:t>
                  </m:r>
                </m:e>
                <m:sub>
                  <m:r>
                    <w:rPr>
                      <w:rFonts w:ascii="Cambria Math" w:hAnsi="Cambria Math" w:cs="Times New Roman"/>
                      <w:noProof/>
                      <w:color w:val="000000" w:themeColor="text1"/>
                      <w:sz w:val="20"/>
                      <w:szCs w:val="20"/>
                      <w:shd w:val="clear" w:color="auto" w:fill="FFFFFF"/>
                    </w:rPr>
                    <m:t>AC</m:t>
                  </m:r>
                </m:sub>
              </m:sSub>
              <m:r>
                <w:rPr>
                  <w:rFonts w:ascii="Cambria Math" w:hAnsi="Cambria Math" w:cs="Times New Roman"/>
                  <w:noProof/>
                  <w:color w:val="000000" w:themeColor="text1"/>
                  <w:sz w:val="20"/>
                  <w:szCs w:val="20"/>
                  <w:shd w:val="clear" w:color="auto" w:fill="FFFFFF"/>
                </w:rPr>
                <m:t>+</m:t>
              </m:r>
              <m:rad>
                <m:radPr>
                  <m:degHide m:val="1"/>
                  <m:ctrlPr>
                    <w:rPr>
                      <w:rFonts w:ascii="Cambria Math" w:hAnsi="Cambria Math" w:cs="Times New Roman"/>
                      <w:noProof/>
                      <w:color w:val="000000" w:themeColor="text1"/>
                      <w:sz w:val="20"/>
                      <w:szCs w:val="20"/>
                      <w:shd w:val="clear" w:color="auto" w:fill="FFFFFF"/>
                    </w:rPr>
                  </m:ctrlPr>
                </m:radPr>
                <m:deg/>
                <m:e>
                  <m:sSup>
                    <m:sSupPr>
                      <m:ctrlPr>
                        <w:rPr>
                          <w:rFonts w:ascii="Cambria Math" w:hAnsi="Cambria Math" w:cs="Times New Roman"/>
                          <w:noProof/>
                          <w:color w:val="000000" w:themeColor="text1"/>
                          <w:sz w:val="20"/>
                          <w:szCs w:val="20"/>
                          <w:shd w:val="clear" w:color="auto" w:fill="FFFFFF"/>
                        </w:rPr>
                      </m:ctrlPr>
                    </m:sSupPr>
                    <m:e>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Ka</m:t>
                          </m:r>
                        </m:e>
                        <m:sub>
                          <m:r>
                            <w:rPr>
                              <w:rFonts w:ascii="Cambria Math" w:hAnsi="Cambria Math" w:cs="Times New Roman"/>
                              <w:noProof/>
                              <w:color w:val="000000" w:themeColor="text1"/>
                              <w:sz w:val="20"/>
                              <w:szCs w:val="20"/>
                              <w:shd w:val="clear" w:color="auto" w:fill="FFFFFF"/>
                            </w:rPr>
                            <m:t>AC</m:t>
                          </m:r>
                        </m:sub>
                      </m:sSub>
                    </m:e>
                    <m:sup>
                      <m:r>
                        <w:rPr>
                          <w:rFonts w:ascii="Cambria Math" w:hAnsi="Cambria Math" w:cs="Times New Roman"/>
                          <w:noProof/>
                          <w:color w:val="000000" w:themeColor="text1"/>
                          <w:sz w:val="20"/>
                          <w:szCs w:val="20"/>
                          <w:shd w:val="clear" w:color="auto" w:fill="FFFFFF"/>
                        </w:rPr>
                        <m:t>2</m:t>
                      </m:r>
                    </m:sup>
                  </m:sSup>
                  <m:r>
                    <w:rPr>
                      <w:rFonts w:ascii="Cambria Math" w:hAnsi="Cambria Math" w:cs="Times New Roman"/>
                      <w:noProof/>
                      <w:color w:val="000000" w:themeColor="text1"/>
                      <w:sz w:val="20"/>
                      <w:szCs w:val="20"/>
                      <w:shd w:val="clear" w:color="auto" w:fill="FFFFFF"/>
                    </w:rPr>
                    <m:t>+4</m:t>
                  </m:r>
                  <m:sSub>
                    <m:sSubPr>
                      <m:ctrlPr>
                        <w:rPr>
                          <w:rFonts w:ascii="Cambria Math" w:hAnsi="Cambria Math" w:cs="Times New Roman"/>
                          <w:noProof/>
                          <w:color w:val="000000" w:themeColor="text1"/>
                          <w:sz w:val="20"/>
                          <w:szCs w:val="20"/>
                          <w:shd w:val="clear" w:color="auto" w:fill="FFFFFF"/>
                        </w:rPr>
                      </m:ctrlPr>
                    </m:sSubPr>
                    <m:e>
                      <m:r>
                        <w:rPr>
                          <w:rFonts w:ascii="Cambria Math" w:hAnsi="Cambria Math" w:cs="Times New Roman"/>
                          <w:noProof/>
                          <w:color w:val="000000" w:themeColor="text1"/>
                          <w:sz w:val="20"/>
                          <w:szCs w:val="20"/>
                          <w:shd w:val="clear" w:color="auto" w:fill="FFFFFF"/>
                        </w:rPr>
                        <m:t>Ka</m:t>
                      </m:r>
                    </m:e>
                    <m:sub>
                      <m:r>
                        <w:rPr>
                          <w:rFonts w:ascii="Cambria Math" w:hAnsi="Cambria Math" w:cs="Times New Roman"/>
                          <w:noProof/>
                          <w:color w:val="000000" w:themeColor="text1"/>
                          <w:sz w:val="20"/>
                          <w:szCs w:val="20"/>
                          <w:shd w:val="clear" w:color="auto" w:fill="FFFFFF"/>
                        </w:rPr>
                        <m:t>AC</m:t>
                      </m:r>
                    </m:sub>
                  </m:sSub>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AC</m:t>
                      </m:r>
                    </m:e>
                  </m:d>
                </m:e>
              </m:rad>
            </m:num>
            <m:den>
              <m:r>
                <w:rPr>
                  <w:rFonts w:ascii="Cambria Math" w:hAnsi="Cambria Math" w:cs="Times New Roman"/>
                  <w:color w:val="000000" w:themeColor="text1"/>
                  <w:sz w:val="20"/>
                  <w:szCs w:val="20"/>
                </w:rPr>
                <m:t>2</m:t>
              </m:r>
            </m:den>
          </m:f>
          <m:r>
            <w:rPr>
              <w:rFonts w:ascii="Cambria Math" w:hAnsi="Cambria Math" w:cs="Times New Roman"/>
              <w:color w:val="000000" w:themeColor="text1"/>
              <w:sz w:val="20"/>
              <w:szCs w:val="20"/>
            </w:rPr>
            <m:t xml:space="preserve">       —</m:t>
          </m:r>
          <m:d>
            <m:dPr>
              <m:ctrlPr>
                <w:rPr>
                  <w:rFonts w:ascii="Cambria Math" w:hAnsi="Cambria Math" w:cs="Times New Roman"/>
                  <w:b/>
                  <w:color w:val="000000" w:themeColor="text1"/>
                  <w:sz w:val="20"/>
                  <w:szCs w:val="20"/>
                </w:rPr>
              </m:ctrlPr>
            </m:dPr>
            <m:e>
              <m:r>
                <m:rPr>
                  <m:sty m:val="bi"/>
                </m:rPr>
                <w:rPr>
                  <w:rFonts w:ascii="Cambria Math" w:hAnsi="Cambria Math" w:cs="Times New Roman"/>
                  <w:color w:val="000000" w:themeColor="text1"/>
                  <w:sz w:val="20"/>
                  <w:szCs w:val="20"/>
                </w:rPr>
                <m:t>12</m:t>
              </m:r>
            </m:e>
          </m:d>
        </m:oMath>
      </m:oMathPara>
    </w:p>
    <w:p w:rsidR="00FD02D4" w:rsidRPr="00FD02D4" w:rsidRDefault="00FD02D4" w:rsidP="00FD02D4">
      <w:pPr>
        <w:spacing w:after="120" w:line="360" w:lineRule="auto"/>
        <w:rPr>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Based on (</w:t>
      </w:r>
      <w:r w:rsidRPr="00FD02D4">
        <w:rPr>
          <w:rFonts w:ascii="Palatino Linotype" w:hAnsi="Palatino Linotype" w:cs="Times New Roman"/>
          <w:b/>
          <w:color w:val="000000" w:themeColor="text1"/>
          <w:sz w:val="20"/>
          <w:szCs w:val="20"/>
        </w:rPr>
        <w:t>10</w:t>
      </w:r>
      <w:r w:rsidRPr="00FD02D4">
        <w:rPr>
          <w:rFonts w:ascii="Palatino Linotype" w:hAnsi="Palatino Linotype" w:cs="Times New Roman"/>
          <w:color w:val="000000" w:themeColor="text1"/>
          <w:sz w:val="20"/>
          <w:szCs w:val="20"/>
        </w:rPr>
        <w:t>) and (</w:t>
      </w:r>
      <w:r w:rsidRPr="00FD02D4">
        <w:rPr>
          <w:rFonts w:ascii="Palatino Linotype" w:hAnsi="Palatino Linotype" w:cs="Times New Roman"/>
          <w:b/>
          <w:color w:val="000000" w:themeColor="text1"/>
          <w:sz w:val="20"/>
          <w:szCs w:val="20"/>
        </w:rPr>
        <w:t>12</w:t>
      </w:r>
      <w:r w:rsidRPr="00FD02D4">
        <w:rPr>
          <w:rFonts w:ascii="Palatino Linotype" w:hAnsi="Palatino Linotype" w:cs="Times New Roman"/>
          <w:color w:val="000000" w:themeColor="text1"/>
          <w:sz w:val="20"/>
          <w:szCs w:val="20"/>
        </w:rPr>
        <w:t xml:space="preserve">), the concentration </w:t>
      </w:r>
      <w:r w:rsidRPr="00FD02D4">
        <w:rPr>
          <w:rFonts w:ascii="Palatino Linotype" w:hAnsi="Palatino Linotype" w:cs="Times New Roman"/>
          <w:noProof/>
          <w:color w:val="000000" w:themeColor="text1"/>
          <w:sz w:val="20"/>
          <w:szCs w:val="20"/>
        </w:rPr>
        <w:t>of</w:t>
      </w:r>
      <w:r w:rsidRPr="00FD02D4">
        <w:rPr>
          <w:rFonts w:ascii="Palatino Linotype" w:hAnsi="Palatino Linotype" w:cs="Times New Roman"/>
          <w:color w:val="000000" w:themeColor="text1"/>
          <w:sz w:val="20"/>
          <w:szCs w:val="20"/>
        </w:rPr>
        <w:t xml:space="preserve"> acetic acid can be solved iteratively. The steps are as follows:</w:t>
      </w:r>
    </w:p>
    <w:p w:rsidR="00FD02D4" w:rsidRPr="00FD02D4" w:rsidRDefault="00FD02D4" w:rsidP="00FD02D4">
      <w:pPr>
        <w:pStyle w:val="ad"/>
        <w:numPr>
          <w:ilvl w:val="0"/>
          <w:numId w:val="27"/>
        </w:numPr>
        <w:spacing w:after="0" w:line="360" w:lineRule="auto"/>
        <w:rPr>
          <w:rStyle w:val="apple-converted-space"/>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t xml:space="preserve">Choose an appropriate initial guess for </w:t>
      </w:r>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AC</w:t>
      </w:r>
    </w:p>
    <w:p w:rsidR="00FD02D4" w:rsidRPr="00FD02D4" w:rsidRDefault="00FD02D4" w:rsidP="00FD02D4">
      <w:pPr>
        <w:pStyle w:val="ad"/>
        <w:numPr>
          <w:ilvl w:val="0"/>
          <w:numId w:val="27"/>
        </w:numPr>
        <w:spacing w:after="0" w:line="360" w:lineRule="auto"/>
        <w:rPr>
          <w:rStyle w:val="apple-converted-space"/>
          <w:rFonts w:ascii="Palatino Linotype" w:hAnsi="Palatino Linotype" w:cs="Times New Roman"/>
          <w:i/>
          <w:iCs/>
          <w:color w:val="000000" w:themeColor="text1"/>
          <w:sz w:val="20"/>
          <w:szCs w:val="20"/>
        </w:rPr>
      </w:pPr>
      <w:r w:rsidRPr="00FD02D4">
        <w:rPr>
          <w:rStyle w:val="apple-converted-space"/>
          <w:rFonts w:ascii="Palatino Linotype" w:hAnsi="Palatino Linotype" w:cs="Times New Roman"/>
          <w:color w:val="000000" w:themeColor="text1"/>
          <w:sz w:val="20"/>
          <w:szCs w:val="20"/>
          <w:shd w:val="clear" w:color="auto" w:fill="FFFFFF"/>
        </w:rPr>
        <w:t>Calculate [AC] using (</w:t>
      </w:r>
      <w:r w:rsidRPr="00FD02D4">
        <w:rPr>
          <w:rStyle w:val="apple-converted-space"/>
          <w:rFonts w:ascii="Palatino Linotype" w:hAnsi="Palatino Linotype" w:cs="Times New Roman"/>
          <w:b/>
          <w:color w:val="000000" w:themeColor="text1"/>
          <w:sz w:val="20"/>
          <w:szCs w:val="20"/>
          <w:shd w:val="clear" w:color="auto" w:fill="FFFFFF"/>
        </w:rPr>
        <w:t>10</w:t>
      </w:r>
      <w:r w:rsidRPr="00FD02D4">
        <w:rPr>
          <w:rStyle w:val="apple-converted-space"/>
          <w:rFonts w:ascii="Palatino Linotype" w:hAnsi="Palatino Linotype" w:cs="Times New Roman"/>
          <w:color w:val="000000" w:themeColor="text1"/>
          <w:sz w:val="20"/>
          <w:szCs w:val="20"/>
          <w:shd w:val="clear" w:color="auto" w:fill="FFFFFF"/>
        </w:rPr>
        <w:t>)</w:t>
      </w:r>
    </w:p>
    <w:p w:rsidR="00FD02D4" w:rsidRPr="00FD02D4" w:rsidRDefault="00FD02D4" w:rsidP="00FD02D4">
      <w:pPr>
        <w:pStyle w:val="ad"/>
        <w:numPr>
          <w:ilvl w:val="0"/>
          <w:numId w:val="27"/>
        </w:numPr>
        <w:spacing w:after="0" w:line="360" w:lineRule="auto"/>
        <w:rPr>
          <w:rStyle w:val="apple-converted-space"/>
          <w:rFonts w:ascii="Palatino Linotype" w:hAnsi="Palatino Linotype" w:cs="Times New Roman"/>
          <w:i/>
          <w:iCs/>
          <w:color w:val="000000" w:themeColor="text1"/>
          <w:sz w:val="20"/>
          <w:szCs w:val="20"/>
        </w:rPr>
      </w:pPr>
      <w:r w:rsidRPr="00FD02D4">
        <w:rPr>
          <w:rStyle w:val="apple-converted-space"/>
          <w:rFonts w:ascii="Palatino Linotype" w:hAnsi="Palatino Linotype" w:cs="Times New Roman"/>
          <w:color w:val="000000" w:themeColor="text1"/>
          <w:sz w:val="20"/>
          <w:szCs w:val="20"/>
          <w:shd w:val="clear" w:color="auto" w:fill="FFFFFF"/>
        </w:rPr>
        <w:t>Calculate a new [H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AC</w:t>
      </w:r>
      <w:r w:rsidRPr="00FD02D4">
        <w:rPr>
          <w:rStyle w:val="apple-converted-space"/>
          <w:rFonts w:ascii="Palatino Linotype" w:hAnsi="Palatino Linotype" w:cs="Times New Roman"/>
          <w:color w:val="000000" w:themeColor="text1"/>
          <w:sz w:val="20"/>
          <w:szCs w:val="20"/>
          <w:shd w:val="clear" w:color="auto" w:fill="FFFFFF"/>
        </w:rPr>
        <w:t xml:space="preserve"> using (</w:t>
      </w:r>
      <w:r w:rsidRPr="00FD02D4">
        <w:rPr>
          <w:rStyle w:val="apple-converted-space"/>
          <w:rFonts w:ascii="Palatino Linotype" w:hAnsi="Palatino Linotype" w:cs="Times New Roman"/>
          <w:b/>
          <w:color w:val="000000" w:themeColor="text1"/>
          <w:sz w:val="20"/>
          <w:szCs w:val="20"/>
          <w:shd w:val="clear" w:color="auto" w:fill="FFFFFF"/>
        </w:rPr>
        <w:t>12</w:t>
      </w:r>
      <w:r w:rsidRPr="00FD02D4">
        <w:rPr>
          <w:rStyle w:val="apple-converted-space"/>
          <w:rFonts w:ascii="Palatino Linotype" w:hAnsi="Palatino Linotype" w:cs="Times New Roman"/>
          <w:color w:val="000000" w:themeColor="text1"/>
          <w:sz w:val="20"/>
          <w:szCs w:val="20"/>
          <w:shd w:val="clear" w:color="auto" w:fill="FFFFFF"/>
        </w:rPr>
        <w:t>)</w:t>
      </w:r>
    </w:p>
    <w:p w:rsidR="00FD02D4" w:rsidRPr="00FD02D4" w:rsidRDefault="00FD02D4" w:rsidP="00FD02D4">
      <w:pPr>
        <w:pStyle w:val="ad"/>
        <w:numPr>
          <w:ilvl w:val="0"/>
          <w:numId w:val="27"/>
        </w:numPr>
        <w:spacing w:after="0" w:line="360" w:lineRule="auto"/>
        <w:rPr>
          <w:rStyle w:val="apple-converted-space"/>
          <w:rFonts w:ascii="Palatino Linotype" w:hAnsi="Palatino Linotype" w:cs="Times New Roman"/>
          <w:i/>
          <w:iCs/>
          <w:color w:val="000000" w:themeColor="text1"/>
          <w:sz w:val="20"/>
          <w:szCs w:val="20"/>
        </w:rPr>
      </w:pPr>
      <w:r w:rsidRPr="00FD02D4">
        <w:rPr>
          <w:rFonts w:ascii="Palatino Linotype" w:hAnsi="Palatino Linotype" w:cs="Times New Roman"/>
          <w:color w:val="000000" w:themeColor="text1"/>
          <w:sz w:val="20"/>
          <w:szCs w:val="20"/>
        </w:rPr>
        <w:lastRenderedPageBreak/>
        <w:t xml:space="preserve">Update the value of </w:t>
      </w:r>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AC</w:t>
      </w:r>
      <w:r w:rsidRPr="00FD02D4">
        <w:rPr>
          <w:rStyle w:val="apple-converted-space"/>
          <w:rFonts w:ascii="Palatino Linotype" w:hAnsi="Palatino Linotype" w:cs="Times New Roman"/>
          <w:color w:val="000000" w:themeColor="text1"/>
          <w:sz w:val="20"/>
          <w:szCs w:val="20"/>
          <w:shd w:val="clear" w:color="auto" w:fill="FFFFFF"/>
        </w:rPr>
        <w:t xml:space="preserve"> in (</w:t>
      </w:r>
      <w:r w:rsidRPr="00FD02D4">
        <w:rPr>
          <w:rStyle w:val="apple-converted-space"/>
          <w:rFonts w:ascii="Palatino Linotype" w:hAnsi="Palatino Linotype" w:cs="Times New Roman"/>
          <w:b/>
          <w:color w:val="000000" w:themeColor="text1"/>
          <w:sz w:val="20"/>
          <w:szCs w:val="20"/>
          <w:shd w:val="clear" w:color="auto" w:fill="FFFFFF"/>
        </w:rPr>
        <w:t>10</w:t>
      </w:r>
      <w:r w:rsidRPr="00FD02D4">
        <w:rPr>
          <w:rStyle w:val="apple-converted-space"/>
          <w:rFonts w:ascii="Palatino Linotype" w:hAnsi="Palatino Linotype" w:cs="Times New Roman"/>
          <w:color w:val="000000" w:themeColor="text1"/>
          <w:sz w:val="20"/>
          <w:szCs w:val="20"/>
          <w:shd w:val="clear" w:color="auto" w:fill="FFFFFF"/>
        </w:rPr>
        <w:t xml:space="preserve">) with the new value calculated </w:t>
      </w:r>
    </w:p>
    <w:p w:rsidR="00FD02D4" w:rsidRPr="00FD02D4" w:rsidRDefault="00FD02D4" w:rsidP="00FD02D4">
      <w:pPr>
        <w:pStyle w:val="ad"/>
        <w:numPr>
          <w:ilvl w:val="0"/>
          <w:numId w:val="27"/>
        </w:numPr>
        <w:spacing w:after="0" w:line="360" w:lineRule="auto"/>
        <w:rPr>
          <w:rStyle w:val="apple-converted-space"/>
          <w:rFonts w:ascii="Palatino Linotype" w:hAnsi="Palatino Linotype" w:cs="Times New Roman"/>
          <w:i/>
          <w:iCs/>
          <w:color w:val="000000" w:themeColor="text1"/>
          <w:sz w:val="20"/>
          <w:szCs w:val="20"/>
        </w:rPr>
      </w:pPr>
      <w:r w:rsidRPr="00FD02D4">
        <w:rPr>
          <w:rStyle w:val="apple-converted-space"/>
          <w:rFonts w:ascii="Palatino Linotype" w:hAnsi="Palatino Linotype" w:cs="Times New Roman"/>
          <w:color w:val="000000" w:themeColor="text1"/>
          <w:sz w:val="20"/>
          <w:szCs w:val="20"/>
          <w:shd w:val="clear" w:color="auto" w:fill="FFFFFF"/>
        </w:rPr>
        <w:t xml:space="preserve">Repeat step 2-4 until the absolute difference between the old </w:t>
      </w:r>
      <w:bookmarkStart w:id="98" w:name="OLE_LINK492"/>
      <w:bookmarkStart w:id="99" w:name="OLE_LINK493"/>
      <w:r w:rsidRPr="00FD02D4">
        <w:rPr>
          <w:rStyle w:val="apple-converted-space"/>
          <w:rFonts w:ascii="Palatino Linotype" w:hAnsi="Palatino Linotype" w:cs="Times New Roman"/>
          <w:color w:val="000000" w:themeColor="text1"/>
          <w:sz w:val="20"/>
          <w:szCs w:val="20"/>
          <w:shd w:val="clear" w:color="auto" w:fill="FFFFFF"/>
        </w:rPr>
        <w:t>[H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AC</w:t>
      </w:r>
      <w:bookmarkEnd w:id="98"/>
      <w:bookmarkEnd w:id="99"/>
      <w:r w:rsidRPr="00FD02D4">
        <w:rPr>
          <w:rStyle w:val="apple-converted-space"/>
          <w:rFonts w:ascii="Palatino Linotype" w:hAnsi="Palatino Linotype" w:cs="Times New Roman"/>
          <w:color w:val="000000" w:themeColor="text1"/>
          <w:sz w:val="20"/>
          <w:szCs w:val="20"/>
          <w:shd w:val="clear" w:color="auto" w:fill="FFFFFF"/>
        </w:rPr>
        <w:t xml:space="preserve"> and new [H</w:t>
      </w:r>
      <w:r w:rsidRPr="00FD02D4">
        <w:rPr>
          <w:rStyle w:val="apple-converted-space"/>
          <w:rFonts w:ascii="Palatino Linotype" w:hAnsi="Palatino Linotype" w:cs="Times New Roman"/>
          <w:color w:val="000000" w:themeColor="text1"/>
          <w:sz w:val="20"/>
          <w:szCs w:val="20"/>
          <w:shd w:val="clear" w:color="auto" w:fill="FFFFFF"/>
          <w:vertAlign w:val="subscript"/>
        </w:rPr>
        <w:t>3</w:t>
      </w:r>
      <w:r w:rsidRPr="00FD02D4">
        <w:rPr>
          <w:rStyle w:val="apple-converted-space"/>
          <w:rFonts w:ascii="Palatino Linotype" w:hAnsi="Palatino Linotype" w:cs="Times New Roman"/>
          <w:color w:val="000000" w:themeColor="text1"/>
          <w:sz w:val="20"/>
          <w:szCs w:val="20"/>
          <w:shd w:val="clear" w:color="auto" w:fill="FFFFFF"/>
        </w:rPr>
        <w:t>O</w:t>
      </w:r>
      <w:r w:rsidRPr="00FD02D4">
        <w:rPr>
          <w:rStyle w:val="apple-converted-space"/>
          <w:rFonts w:ascii="Palatino Linotype" w:hAnsi="Palatino Linotype" w:cs="Times New Roman"/>
          <w:color w:val="000000" w:themeColor="text1"/>
          <w:sz w:val="20"/>
          <w:szCs w:val="20"/>
          <w:shd w:val="clear" w:color="auto" w:fill="FFFFFF"/>
          <w:vertAlign w:val="superscript"/>
        </w:rPr>
        <w:t>+</w:t>
      </w:r>
      <w:r w:rsidRPr="00FD02D4">
        <w:rPr>
          <w:rStyle w:val="apple-converted-space"/>
          <w:rFonts w:ascii="Palatino Linotype" w:hAnsi="Palatino Linotype" w:cs="Times New Roman"/>
          <w:color w:val="000000" w:themeColor="text1"/>
          <w:sz w:val="20"/>
          <w:szCs w:val="20"/>
          <w:shd w:val="clear" w:color="auto" w:fill="FFFFFF"/>
        </w:rPr>
        <w:t>]</w:t>
      </w:r>
      <w:r w:rsidRPr="00FD02D4">
        <w:rPr>
          <w:rStyle w:val="apple-converted-space"/>
          <w:rFonts w:ascii="Palatino Linotype" w:hAnsi="Palatino Linotype" w:cs="Times New Roman"/>
          <w:color w:val="000000" w:themeColor="text1"/>
          <w:sz w:val="20"/>
          <w:szCs w:val="20"/>
          <w:shd w:val="clear" w:color="auto" w:fill="FFFFFF"/>
          <w:vertAlign w:val="subscript"/>
        </w:rPr>
        <w:t>AC</w:t>
      </w:r>
      <w:r w:rsidRPr="00FD02D4">
        <w:rPr>
          <w:rStyle w:val="apple-converted-space"/>
          <w:rFonts w:ascii="Palatino Linotype" w:hAnsi="Palatino Linotype" w:cs="Times New Roman"/>
          <w:color w:val="000000" w:themeColor="text1"/>
          <w:sz w:val="20"/>
          <w:szCs w:val="20"/>
          <w:shd w:val="clear" w:color="auto" w:fill="FFFFFF"/>
        </w:rPr>
        <w:t xml:space="preserve"> are sufficiently small (i.e. &lt; 10e-9 M)</w:t>
      </w:r>
    </w:p>
    <w:p w:rsidR="00FD02D4" w:rsidRPr="00FD02D4" w:rsidRDefault="00FD02D4" w:rsidP="00FD02D4">
      <w:pPr>
        <w:widowControl w:val="0"/>
        <w:autoSpaceDE w:val="0"/>
        <w:autoSpaceDN w:val="0"/>
        <w:adjustRightInd w:val="0"/>
        <w:spacing w:after="0" w:line="240" w:lineRule="auto"/>
        <w:rPr>
          <w:rFonts w:ascii="Palatino Linotype" w:hAnsi="Palatino Linotype" w:cs="Times New Roman"/>
          <w:i/>
          <w:noProof/>
          <w:color w:val="000000" w:themeColor="text1"/>
          <w:sz w:val="20"/>
          <w:szCs w:val="20"/>
        </w:rPr>
      </w:pPr>
      <w:r w:rsidRPr="00FD02D4">
        <w:rPr>
          <w:rFonts w:ascii="Palatino Linotype" w:hAnsi="Palatino Linotype" w:cs="Times New Roman"/>
          <w:color w:val="000000" w:themeColor="text1"/>
          <w:sz w:val="20"/>
          <w:szCs w:val="20"/>
        </w:rPr>
        <w:t>Once [AC] is obtained, [MAL] can be estimated using (</w:t>
      </w:r>
      <w:r w:rsidRPr="00FD02D4">
        <w:rPr>
          <w:rFonts w:ascii="Palatino Linotype" w:hAnsi="Palatino Linotype" w:cs="Times New Roman"/>
          <w:b/>
          <w:color w:val="000000" w:themeColor="text1"/>
          <w:sz w:val="20"/>
          <w:szCs w:val="20"/>
        </w:rPr>
        <w:t>9</w:t>
      </w:r>
      <w:r w:rsidRPr="00FD02D4">
        <w:rPr>
          <w:rFonts w:ascii="Palatino Linotype" w:hAnsi="Palatino Linotype" w:cs="Times New Roman"/>
          <w:color w:val="000000" w:themeColor="text1"/>
          <w:sz w:val="20"/>
          <w:szCs w:val="20"/>
        </w:rPr>
        <w:t>)</w:t>
      </w:r>
    </w:p>
    <w:p w:rsidR="00FD02D4" w:rsidRPr="00FD02D4" w:rsidRDefault="00FD02D4" w:rsidP="00AC7961">
      <w:pPr>
        <w:widowControl w:val="0"/>
        <w:autoSpaceDE w:val="0"/>
        <w:autoSpaceDN w:val="0"/>
        <w:adjustRightInd w:val="0"/>
        <w:spacing w:after="0" w:line="240" w:lineRule="auto"/>
        <w:ind w:left="640" w:hanging="640"/>
        <w:rPr>
          <w:rFonts w:ascii="Palatino Linotype" w:hAnsi="Palatino Linotype" w:cs="Times New Roman"/>
          <w:sz w:val="20"/>
          <w:szCs w:val="20"/>
        </w:rPr>
      </w:pPr>
    </w:p>
    <w:sectPr w:rsidR="00FD02D4" w:rsidRPr="00FD02D4" w:rsidSect="008802B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D7F" w:rsidRDefault="00FB1D7F" w:rsidP="008802B1">
      <w:pPr>
        <w:spacing w:after="0" w:line="240" w:lineRule="auto"/>
      </w:pPr>
      <w:r>
        <w:separator/>
      </w:r>
    </w:p>
  </w:endnote>
  <w:endnote w:type="continuationSeparator" w:id="0">
    <w:p w:rsidR="00FB1D7F" w:rsidRDefault="00FB1D7F" w:rsidP="00880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D7F" w:rsidRDefault="00FB1D7F" w:rsidP="008802B1">
      <w:pPr>
        <w:spacing w:after="0" w:line="240" w:lineRule="auto"/>
      </w:pPr>
      <w:r>
        <w:separator/>
      </w:r>
    </w:p>
  </w:footnote>
  <w:footnote w:type="continuationSeparator" w:id="0">
    <w:p w:rsidR="00FB1D7F" w:rsidRDefault="00FB1D7F" w:rsidP="008802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2767A"/>
    <w:multiLevelType w:val="multilevel"/>
    <w:tmpl w:val="3556A01E"/>
    <w:lvl w:ilvl="0">
      <w:start w:val="1"/>
      <w:numFmt w:val="decimal"/>
      <w:lvlText w:val="CHAPTER %1"/>
      <w:lvlJc w:val="left"/>
      <w:pPr>
        <w:ind w:left="360" w:hanging="360"/>
      </w:pPr>
      <w:rPr>
        <w:rFonts w:hint="eastAsia"/>
        <w:sz w:val="28"/>
        <w:szCs w:val="30"/>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 w15:restartNumberingAfterBreak="0">
    <w:nsid w:val="04FE21D8"/>
    <w:multiLevelType w:val="multilevel"/>
    <w:tmpl w:val="1840BE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1C050A"/>
    <w:multiLevelType w:val="hybridMultilevel"/>
    <w:tmpl w:val="D8A23C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B62A40"/>
    <w:multiLevelType w:val="hybridMultilevel"/>
    <w:tmpl w:val="7A126F9A"/>
    <w:lvl w:ilvl="0" w:tplc="D8FE3A6E">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0D3637"/>
    <w:multiLevelType w:val="hybridMultilevel"/>
    <w:tmpl w:val="7778A8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DB5135"/>
    <w:multiLevelType w:val="multilevel"/>
    <w:tmpl w:val="75001FFA"/>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7F96636"/>
    <w:multiLevelType w:val="multilevel"/>
    <w:tmpl w:val="45461714"/>
    <w:lvl w:ilvl="0">
      <w:start w:val="7"/>
      <w:numFmt w:val="decimal"/>
      <w:lvlText w:val="CHAPTER %1"/>
      <w:lvlJc w:val="left"/>
      <w:pPr>
        <w:ind w:left="375" w:hanging="375"/>
      </w:pPr>
      <w:rPr>
        <w:rFonts w:hint="eastAsia"/>
        <w:color w:val="auto"/>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BE6FBF"/>
    <w:multiLevelType w:val="multilevel"/>
    <w:tmpl w:val="A2C84644"/>
    <w:lvl w:ilvl="0">
      <w:start w:val="1"/>
      <w:numFmt w:val="decimal"/>
      <w:lvlText w:val="%1"/>
      <w:lvlJc w:val="left"/>
      <w:pPr>
        <w:ind w:left="375" w:hanging="375"/>
      </w:pPr>
      <w:rPr>
        <w:rFonts w:ascii="Times New Roman" w:hAnsi="Times New Roman" w:cs="Times New Roman" w:hint="default"/>
        <w:b/>
        <w:i/>
        <w:sz w:val="28"/>
      </w:rPr>
    </w:lvl>
    <w:lvl w:ilvl="1">
      <w:start w:val="1"/>
      <w:numFmt w:val="decimal"/>
      <w:lvlText w:val="%1.%2"/>
      <w:lvlJc w:val="left"/>
      <w:pPr>
        <w:ind w:left="375" w:hanging="375"/>
      </w:pPr>
      <w:rPr>
        <w:rFonts w:ascii="Times New Roman" w:hAnsi="Times New Roman" w:cs="Times New Roman" w:hint="default"/>
        <w:b/>
        <w:i/>
        <w:sz w:val="28"/>
      </w:rPr>
    </w:lvl>
    <w:lvl w:ilvl="2">
      <w:start w:val="1"/>
      <w:numFmt w:val="decimal"/>
      <w:lvlText w:val="%1.%2.%3"/>
      <w:lvlJc w:val="left"/>
      <w:pPr>
        <w:ind w:left="720" w:hanging="720"/>
      </w:pPr>
      <w:rPr>
        <w:rFonts w:ascii="Times New Roman" w:hAnsi="Times New Roman" w:cs="Times New Roman" w:hint="default"/>
        <w:b/>
        <w:i/>
        <w:sz w:val="28"/>
      </w:rPr>
    </w:lvl>
    <w:lvl w:ilvl="3">
      <w:start w:val="1"/>
      <w:numFmt w:val="decimal"/>
      <w:lvlText w:val="%1.%2.%3.%4"/>
      <w:lvlJc w:val="left"/>
      <w:pPr>
        <w:ind w:left="720" w:hanging="720"/>
      </w:pPr>
      <w:rPr>
        <w:rFonts w:ascii="Times New Roman" w:hAnsi="Times New Roman" w:cs="Times New Roman" w:hint="default"/>
        <w:b/>
        <w:i/>
        <w:sz w:val="28"/>
      </w:rPr>
    </w:lvl>
    <w:lvl w:ilvl="4">
      <w:start w:val="1"/>
      <w:numFmt w:val="decimal"/>
      <w:lvlText w:val="%1.%2.%3.%4.%5"/>
      <w:lvlJc w:val="left"/>
      <w:pPr>
        <w:ind w:left="1080" w:hanging="1080"/>
      </w:pPr>
      <w:rPr>
        <w:rFonts w:ascii="Times New Roman" w:hAnsi="Times New Roman" w:cs="Times New Roman" w:hint="default"/>
        <w:b/>
        <w:i/>
        <w:sz w:val="28"/>
      </w:rPr>
    </w:lvl>
    <w:lvl w:ilvl="5">
      <w:start w:val="1"/>
      <w:numFmt w:val="decimal"/>
      <w:lvlText w:val="%1.%2.%3.%4.%5.%6"/>
      <w:lvlJc w:val="left"/>
      <w:pPr>
        <w:ind w:left="1080" w:hanging="1080"/>
      </w:pPr>
      <w:rPr>
        <w:rFonts w:ascii="Times New Roman" w:hAnsi="Times New Roman" w:cs="Times New Roman" w:hint="default"/>
        <w:b/>
        <w:i/>
        <w:sz w:val="28"/>
      </w:rPr>
    </w:lvl>
    <w:lvl w:ilvl="6">
      <w:start w:val="1"/>
      <w:numFmt w:val="decimal"/>
      <w:lvlText w:val="%1.%2.%3.%4.%5.%6.%7"/>
      <w:lvlJc w:val="left"/>
      <w:pPr>
        <w:ind w:left="1440" w:hanging="1440"/>
      </w:pPr>
      <w:rPr>
        <w:rFonts w:ascii="Times New Roman" w:hAnsi="Times New Roman" w:cs="Times New Roman" w:hint="default"/>
        <w:b/>
        <w:i/>
        <w:sz w:val="28"/>
      </w:rPr>
    </w:lvl>
    <w:lvl w:ilvl="7">
      <w:start w:val="1"/>
      <w:numFmt w:val="decimal"/>
      <w:lvlText w:val="%1.%2.%3.%4.%5.%6.%7.%8"/>
      <w:lvlJc w:val="left"/>
      <w:pPr>
        <w:ind w:left="1440" w:hanging="1440"/>
      </w:pPr>
      <w:rPr>
        <w:rFonts w:ascii="Times New Roman" w:hAnsi="Times New Roman" w:cs="Times New Roman" w:hint="default"/>
        <w:b/>
        <w:i/>
        <w:sz w:val="28"/>
      </w:rPr>
    </w:lvl>
    <w:lvl w:ilvl="8">
      <w:start w:val="1"/>
      <w:numFmt w:val="decimal"/>
      <w:lvlText w:val="%1.%2.%3.%4.%5.%6.%7.%8.%9"/>
      <w:lvlJc w:val="left"/>
      <w:pPr>
        <w:ind w:left="1800" w:hanging="1800"/>
      </w:pPr>
      <w:rPr>
        <w:rFonts w:ascii="Times New Roman" w:hAnsi="Times New Roman" w:cs="Times New Roman" w:hint="default"/>
        <w:b/>
        <w:i/>
        <w:sz w:val="28"/>
      </w:rPr>
    </w:lvl>
  </w:abstractNum>
  <w:abstractNum w:abstractNumId="8" w15:restartNumberingAfterBreak="0">
    <w:nsid w:val="1E130099"/>
    <w:multiLevelType w:val="hybridMultilevel"/>
    <w:tmpl w:val="36B8B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DB16DB"/>
    <w:multiLevelType w:val="hybridMultilevel"/>
    <w:tmpl w:val="0D6A0B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3F5056"/>
    <w:multiLevelType w:val="hybridMultilevel"/>
    <w:tmpl w:val="D4CC3E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B062B5"/>
    <w:multiLevelType w:val="multilevel"/>
    <w:tmpl w:val="192869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A21270"/>
    <w:multiLevelType w:val="hybridMultilevel"/>
    <w:tmpl w:val="116007BE"/>
    <w:lvl w:ilvl="0" w:tplc="02420650">
      <w:start w:val="6"/>
      <w:numFmt w:val="decimal"/>
      <w:lvlText w:val="CHAPTER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AF7646"/>
    <w:multiLevelType w:val="hybridMultilevel"/>
    <w:tmpl w:val="DB46C7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BD7661"/>
    <w:multiLevelType w:val="multilevel"/>
    <w:tmpl w:val="EEA0F38A"/>
    <w:lvl w:ilvl="0">
      <w:start w:val="2"/>
      <w:numFmt w:val="decimal"/>
      <w:lvlText w:val="%1"/>
      <w:lvlJc w:val="left"/>
      <w:pPr>
        <w:ind w:left="375" w:hanging="375"/>
      </w:pPr>
      <w:rPr>
        <w:rFonts w:ascii="Times New Roman" w:hAnsi="Times New Roman" w:cs="Times New Roman" w:hint="default"/>
        <w:sz w:val="28"/>
      </w:rPr>
    </w:lvl>
    <w:lvl w:ilvl="1">
      <w:start w:val="1"/>
      <w:numFmt w:val="decimal"/>
      <w:lvlText w:val="%1.%2"/>
      <w:lvlJc w:val="left"/>
      <w:pPr>
        <w:ind w:left="375" w:hanging="375"/>
      </w:pPr>
      <w:rPr>
        <w:rFonts w:ascii="Times New Roman" w:hAnsi="Times New Roman" w:cs="Times New Roman" w:hint="default"/>
        <w:sz w:val="28"/>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080" w:hanging="108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440" w:hanging="144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15" w15:restartNumberingAfterBreak="0">
    <w:nsid w:val="3DA76EA7"/>
    <w:multiLevelType w:val="multilevel"/>
    <w:tmpl w:val="9F88A48A"/>
    <w:lvl w:ilvl="0">
      <w:start w:val="4"/>
      <w:numFmt w:val="decimal"/>
      <w:lvlText w:val="%1"/>
      <w:lvlJc w:val="left"/>
      <w:pPr>
        <w:ind w:left="375" w:hanging="375"/>
      </w:pPr>
      <w:rPr>
        <w:rFonts w:hint="default"/>
      </w:rPr>
    </w:lvl>
    <w:lvl w:ilvl="1">
      <w:start w:val="1"/>
      <w:numFmt w:val="decimal"/>
      <w:lvlText w:val="%2."/>
      <w:lvlJc w:val="left"/>
      <w:pPr>
        <w:ind w:left="375" w:hanging="375"/>
      </w:pPr>
      <w:rPr>
        <w:rFonts w:ascii="Times New Roman" w:eastAsiaTheme="majorEastAsia" w:hAnsi="Times New Roman" w:cs="Times New Roman"/>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3765A96"/>
    <w:multiLevelType w:val="multilevel"/>
    <w:tmpl w:val="FF4E2088"/>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5657CB3"/>
    <w:multiLevelType w:val="hybridMultilevel"/>
    <w:tmpl w:val="5EC8A2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F867E7"/>
    <w:multiLevelType w:val="hybridMultilevel"/>
    <w:tmpl w:val="8F04F43C"/>
    <w:lvl w:ilvl="0" w:tplc="EFB0E1E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98538A1"/>
    <w:multiLevelType w:val="hybridMultilevel"/>
    <w:tmpl w:val="EF9E16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8839DA"/>
    <w:multiLevelType w:val="hybridMultilevel"/>
    <w:tmpl w:val="4F6664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F12BF5"/>
    <w:multiLevelType w:val="hybridMultilevel"/>
    <w:tmpl w:val="4BC66B96"/>
    <w:lvl w:ilvl="0" w:tplc="BBF2EACC">
      <w:start w:val="1"/>
      <w:numFmt w:val="lowerRoman"/>
      <w:lvlText w:val="%1."/>
      <w:lvlJc w:val="left"/>
      <w:pPr>
        <w:ind w:left="1080" w:hanging="72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8E6CE1"/>
    <w:multiLevelType w:val="hybridMultilevel"/>
    <w:tmpl w:val="7DB06F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1367E9"/>
    <w:multiLevelType w:val="multilevel"/>
    <w:tmpl w:val="61C8D1B6"/>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AB001B"/>
    <w:multiLevelType w:val="hybridMultilevel"/>
    <w:tmpl w:val="4C8019CA"/>
    <w:lvl w:ilvl="0" w:tplc="62585460">
      <w:start w:val="1"/>
      <w:numFmt w:val="decimal"/>
      <w:lvlText w:val="%1)"/>
      <w:lvlJc w:val="left"/>
      <w:pPr>
        <w:ind w:left="720" w:hanging="360"/>
      </w:pPr>
      <w:rPr>
        <w:rFonts w:eastAsiaTheme="minorEastAsia"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7E20FE"/>
    <w:multiLevelType w:val="multilevel"/>
    <w:tmpl w:val="D870FAA4"/>
    <w:lvl w:ilvl="0">
      <w:start w:val="2"/>
      <w:numFmt w:val="decimal"/>
      <w:lvlText w:val="%1"/>
      <w:lvlJc w:val="left"/>
      <w:pPr>
        <w:ind w:left="525" w:hanging="525"/>
      </w:pPr>
      <w:rPr>
        <w:rFonts w:hint="default"/>
        <w:u w:val="none"/>
      </w:rPr>
    </w:lvl>
    <w:lvl w:ilvl="1">
      <w:start w:val="2"/>
      <w:numFmt w:val="decimal"/>
      <w:lvlText w:val="%1.%2"/>
      <w:lvlJc w:val="left"/>
      <w:pPr>
        <w:ind w:left="777" w:hanging="525"/>
      </w:pPr>
      <w:rPr>
        <w:rFonts w:hint="default"/>
        <w:b/>
        <w:u w:val="none"/>
      </w:rPr>
    </w:lvl>
    <w:lvl w:ilvl="2">
      <w:start w:val="1"/>
      <w:numFmt w:val="decimal"/>
      <w:lvlText w:val="%1.%2.%3"/>
      <w:lvlJc w:val="left"/>
      <w:pPr>
        <w:ind w:left="1224" w:hanging="720"/>
      </w:pPr>
      <w:rPr>
        <w:rFonts w:hint="default"/>
        <w:u w:val="none"/>
      </w:rPr>
    </w:lvl>
    <w:lvl w:ilvl="3">
      <w:start w:val="1"/>
      <w:numFmt w:val="decimal"/>
      <w:lvlText w:val="%1.%2.%3.%4"/>
      <w:lvlJc w:val="left"/>
      <w:pPr>
        <w:ind w:left="1836" w:hanging="108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700" w:hanging="144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564" w:hanging="1800"/>
      </w:pPr>
      <w:rPr>
        <w:rFonts w:hint="default"/>
        <w:u w:val="none"/>
      </w:rPr>
    </w:lvl>
    <w:lvl w:ilvl="8">
      <w:start w:val="1"/>
      <w:numFmt w:val="decimal"/>
      <w:lvlText w:val="%1.%2.%3.%4.%5.%6.%7.%8.%9"/>
      <w:lvlJc w:val="left"/>
      <w:pPr>
        <w:ind w:left="3816" w:hanging="1800"/>
      </w:pPr>
      <w:rPr>
        <w:rFonts w:hint="default"/>
        <w:u w:val="none"/>
      </w:rPr>
    </w:lvl>
  </w:abstractNum>
  <w:abstractNum w:abstractNumId="26" w15:restartNumberingAfterBreak="0">
    <w:nsid w:val="6717354F"/>
    <w:multiLevelType w:val="hybridMultilevel"/>
    <w:tmpl w:val="076C27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8110F0"/>
    <w:multiLevelType w:val="multilevel"/>
    <w:tmpl w:val="3C1C81FA"/>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DB92E6E"/>
    <w:multiLevelType w:val="hybridMultilevel"/>
    <w:tmpl w:val="47C6C308"/>
    <w:lvl w:ilvl="0" w:tplc="08090011">
      <w:start w:val="1"/>
      <w:numFmt w:val="decimal"/>
      <w:lvlText w:val="%1)"/>
      <w:lvlJc w:val="left"/>
      <w:pPr>
        <w:ind w:left="720" w:hanging="360"/>
      </w:pPr>
      <w:rPr>
        <w:rFonts w:hint="default"/>
      </w:rPr>
    </w:lvl>
    <w:lvl w:ilvl="1" w:tplc="96305A40">
      <w:start w:val="2"/>
      <w:numFmt w:val="bullet"/>
      <w:lvlText w:val="–"/>
      <w:lvlJc w:val="left"/>
      <w:pPr>
        <w:ind w:left="1440" w:hanging="360"/>
      </w:pPr>
      <w:rPr>
        <w:rFonts w:ascii="Times New Roman" w:eastAsiaTheme="majorEastAsia"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176FC"/>
    <w:multiLevelType w:val="hybridMultilevel"/>
    <w:tmpl w:val="736428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FF724C"/>
    <w:multiLevelType w:val="multilevel"/>
    <w:tmpl w:val="50E02B7E"/>
    <w:lvl w:ilvl="0">
      <w:start w:val="5"/>
      <w:numFmt w:val="decimal"/>
      <w:lvlText w:val="CHAPTER %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8A64635"/>
    <w:multiLevelType w:val="hybridMultilevel"/>
    <w:tmpl w:val="8B8E46C2"/>
    <w:lvl w:ilvl="0" w:tplc="0C2C6F30">
      <w:start w:val="1"/>
      <w:numFmt w:val="lowerLetter"/>
      <w:lvlText w:val="%1."/>
      <w:lvlJc w:val="left"/>
      <w:pPr>
        <w:ind w:left="720" w:hanging="360"/>
      </w:pPr>
      <w:rPr>
        <w:rFonts w:hint="default"/>
        <w:b/>
        <w:sz w:val="24"/>
        <w:szCs w:val="24"/>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A316F77"/>
    <w:multiLevelType w:val="hybridMultilevel"/>
    <w:tmpl w:val="EBD859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31"/>
  </w:num>
  <w:num w:numId="3">
    <w:abstractNumId w:val="28"/>
  </w:num>
  <w:num w:numId="4">
    <w:abstractNumId w:val="16"/>
  </w:num>
  <w:num w:numId="5">
    <w:abstractNumId w:val="15"/>
  </w:num>
  <w:num w:numId="6">
    <w:abstractNumId w:val="32"/>
  </w:num>
  <w:num w:numId="7">
    <w:abstractNumId w:val="2"/>
  </w:num>
  <w:num w:numId="8">
    <w:abstractNumId w:val="5"/>
  </w:num>
  <w:num w:numId="9">
    <w:abstractNumId w:val="3"/>
  </w:num>
  <w:num w:numId="10">
    <w:abstractNumId w:val="9"/>
  </w:num>
  <w:num w:numId="11">
    <w:abstractNumId w:val="19"/>
  </w:num>
  <w:num w:numId="12">
    <w:abstractNumId w:val="6"/>
  </w:num>
  <w:num w:numId="13">
    <w:abstractNumId w:val="13"/>
  </w:num>
  <w:num w:numId="14">
    <w:abstractNumId w:val="0"/>
  </w:num>
  <w:num w:numId="15">
    <w:abstractNumId w:val="30"/>
  </w:num>
  <w:num w:numId="16">
    <w:abstractNumId w:val="12"/>
  </w:num>
  <w:num w:numId="17">
    <w:abstractNumId w:val="24"/>
  </w:num>
  <w:num w:numId="18">
    <w:abstractNumId w:val="20"/>
  </w:num>
  <w:num w:numId="19">
    <w:abstractNumId w:val="10"/>
  </w:num>
  <w:num w:numId="20">
    <w:abstractNumId w:val="4"/>
  </w:num>
  <w:num w:numId="21">
    <w:abstractNumId w:val="26"/>
  </w:num>
  <w:num w:numId="22">
    <w:abstractNumId w:val="27"/>
  </w:num>
  <w:num w:numId="23">
    <w:abstractNumId w:val="17"/>
  </w:num>
  <w:num w:numId="24">
    <w:abstractNumId w:val="18"/>
  </w:num>
  <w:num w:numId="25">
    <w:abstractNumId w:val="22"/>
  </w:num>
  <w:num w:numId="26">
    <w:abstractNumId w:val="21"/>
  </w:num>
  <w:num w:numId="27">
    <w:abstractNumId w:val="8"/>
  </w:num>
  <w:num w:numId="28">
    <w:abstractNumId w:val="7"/>
  </w:num>
  <w:num w:numId="29">
    <w:abstractNumId w:val="14"/>
  </w:num>
  <w:num w:numId="30">
    <w:abstractNumId w:val="23"/>
  </w:num>
  <w:num w:numId="31">
    <w:abstractNumId w:val="29"/>
  </w:num>
  <w:num w:numId="32">
    <w:abstractNumId w:val="1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Y0MzcwtTQ1MbE0tTBQ0lEKTi0uzszPAykwNKoFAPdqDKctAAAA"/>
  </w:docVars>
  <w:rsids>
    <w:rsidRoot w:val="00952393"/>
    <w:rsid w:val="000578C7"/>
    <w:rsid w:val="0006477F"/>
    <w:rsid w:val="00083CF0"/>
    <w:rsid w:val="000C1C45"/>
    <w:rsid w:val="000D5CB0"/>
    <w:rsid w:val="002F61AC"/>
    <w:rsid w:val="0033302D"/>
    <w:rsid w:val="00377EA5"/>
    <w:rsid w:val="0039220D"/>
    <w:rsid w:val="003A306E"/>
    <w:rsid w:val="003C571A"/>
    <w:rsid w:val="003D3F6F"/>
    <w:rsid w:val="003E2382"/>
    <w:rsid w:val="00405FB1"/>
    <w:rsid w:val="00437BC5"/>
    <w:rsid w:val="005069B9"/>
    <w:rsid w:val="00552173"/>
    <w:rsid w:val="005A5FA8"/>
    <w:rsid w:val="005B18B4"/>
    <w:rsid w:val="0061194A"/>
    <w:rsid w:val="006841D5"/>
    <w:rsid w:val="007A5B53"/>
    <w:rsid w:val="008625E6"/>
    <w:rsid w:val="008802B1"/>
    <w:rsid w:val="008A276F"/>
    <w:rsid w:val="008F4B40"/>
    <w:rsid w:val="00952393"/>
    <w:rsid w:val="00AC7961"/>
    <w:rsid w:val="00B10E5C"/>
    <w:rsid w:val="00B2409E"/>
    <w:rsid w:val="00B34D04"/>
    <w:rsid w:val="00B60ED0"/>
    <w:rsid w:val="00BA37D1"/>
    <w:rsid w:val="00C64512"/>
    <w:rsid w:val="00C652AC"/>
    <w:rsid w:val="00CB604D"/>
    <w:rsid w:val="00D960A3"/>
    <w:rsid w:val="00E3332A"/>
    <w:rsid w:val="00EC434B"/>
    <w:rsid w:val="00F056E6"/>
    <w:rsid w:val="00F315E9"/>
    <w:rsid w:val="00F6079D"/>
    <w:rsid w:val="00FA3D25"/>
    <w:rsid w:val="00FB1D7F"/>
    <w:rsid w:val="00FD02D4"/>
    <w:rsid w:val="00FD5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D8D1D"/>
  <w15:docId w15:val="{0A83FC3D-8E56-4E34-BE05-90B98D6BA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2B1"/>
  </w:style>
  <w:style w:type="paragraph" w:styleId="1">
    <w:name w:val="heading 1"/>
    <w:basedOn w:val="a"/>
    <w:next w:val="a"/>
    <w:link w:val="10"/>
    <w:uiPriority w:val="9"/>
    <w:qFormat/>
    <w:rsid w:val="008802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802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802B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802B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802B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802B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8802B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8802B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8802B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802B1"/>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sid w:val="008802B1"/>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sid w:val="008802B1"/>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sid w:val="008802B1"/>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semiHidden/>
    <w:rsid w:val="008802B1"/>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semiHidden/>
    <w:rsid w:val="008802B1"/>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semiHidden/>
    <w:rsid w:val="008802B1"/>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semiHidden/>
    <w:rsid w:val="008802B1"/>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semiHidden/>
    <w:rsid w:val="008802B1"/>
    <w:rPr>
      <w:rFonts w:asciiTheme="majorHAnsi" w:eastAsiaTheme="majorEastAsia" w:hAnsiTheme="majorHAnsi" w:cstheme="majorBidi"/>
      <w:i/>
      <w:iCs/>
      <w:color w:val="404040" w:themeColor="text1" w:themeTint="BF"/>
      <w:sz w:val="20"/>
      <w:szCs w:val="20"/>
    </w:rPr>
  </w:style>
  <w:style w:type="paragraph" w:styleId="a3">
    <w:name w:val="header"/>
    <w:basedOn w:val="a"/>
    <w:link w:val="a4"/>
    <w:uiPriority w:val="99"/>
    <w:unhideWhenUsed/>
    <w:rsid w:val="008802B1"/>
    <w:pPr>
      <w:tabs>
        <w:tab w:val="center" w:pos="4153"/>
        <w:tab w:val="right" w:pos="8306"/>
      </w:tabs>
    </w:pPr>
  </w:style>
  <w:style w:type="character" w:customStyle="1" w:styleId="a4">
    <w:name w:val="页眉 字符"/>
    <w:basedOn w:val="a0"/>
    <w:link w:val="a3"/>
    <w:uiPriority w:val="99"/>
    <w:rsid w:val="008802B1"/>
    <w:rPr>
      <w:lang w:val="en-GB"/>
    </w:rPr>
  </w:style>
  <w:style w:type="paragraph" w:styleId="a5">
    <w:name w:val="footer"/>
    <w:basedOn w:val="a"/>
    <w:link w:val="a6"/>
    <w:uiPriority w:val="99"/>
    <w:unhideWhenUsed/>
    <w:rsid w:val="008802B1"/>
    <w:pPr>
      <w:tabs>
        <w:tab w:val="center" w:pos="4153"/>
        <w:tab w:val="right" w:pos="8306"/>
      </w:tabs>
    </w:pPr>
  </w:style>
  <w:style w:type="character" w:customStyle="1" w:styleId="a6">
    <w:name w:val="页脚 字符"/>
    <w:basedOn w:val="a0"/>
    <w:link w:val="a5"/>
    <w:uiPriority w:val="99"/>
    <w:rsid w:val="008802B1"/>
    <w:rPr>
      <w:lang w:val="en-GB"/>
    </w:rPr>
  </w:style>
  <w:style w:type="paragraph" w:styleId="a7">
    <w:name w:val="No Spacing"/>
    <w:link w:val="a8"/>
    <w:uiPriority w:val="1"/>
    <w:qFormat/>
    <w:rsid w:val="008802B1"/>
    <w:pPr>
      <w:spacing w:after="0" w:line="240" w:lineRule="auto"/>
    </w:pPr>
  </w:style>
  <w:style w:type="character" w:customStyle="1" w:styleId="a8">
    <w:name w:val="无间隔 字符"/>
    <w:basedOn w:val="a0"/>
    <w:link w:val="a7"/>
    <w:uiPriority w:val="1"/>
    <w:rsid w:val="008802B1"/>
  </w:style>
  <w:style w:type="paragraph" w:styleId="a9">
    <w:name w:val="annotation text"/>
    <w:basedOn w:val="a"/>
    <w:link w:val="aa"/>
    <w:uiPriority w:val="99"/>
    <w:semiHidden/>
    <w:unhideWhenUsed/>
    <w:rsid w:val="008802B1"/>
    <w:rPr>
      <w:i/>
      <w:iCs/>
    </w:rPr>
  </w:style>
  <w:style w:type="character" w:customStyle="1" w:styleId="aa">
    <w:name w:val="批注文字 字符"/>
    <w:basedOn w:val="a0"/>
    <w:link w:val="a9"/>
    <w:uiPriority w:val="99"/>
    <w:semiHidden/>
    <w:rsid w:val="008802B1"/>
    <w:rPr>
      <w:kern w:val="0"/>
      <w:sz w:val="20"/>
      <w:szCs w:val="20"/>
      <w:lang w:val="en-GB"/>
    </w:rPr>
  </w:style>
  <w:style w:type="paragraph" w:styleId="ab">
    <w:name w:val="Balloon Text"/>
    <w:basedOn w:val="a"/>
    <w:link w:val="ac"/>
    <w:uiPriority w:val="99"/>
    <w:semiHidden/>
    <w:unhideWhenUsed/>
    <w:rsid w:val="008802B1"/>
    <w:rPr>
      <w:rFonts w:ascii="宋体" w:eastAsia="宋体"/>
      <w:sz w:val="18"/>
      <w:szCs w:val="18"/>
    </w:rPr>
  </w:style>
  <w:style w:type="character" w:customStyle="1" w:styleId="ac">
    <w:name w:val="批注框文本 字符"/>
    <w:basedOn w:val="a0"/>
    <w:link w:val="ab"/>
    <w:uiPriority w:val="99"/>
    <w:semiHidden/>
    <w:rsid w:val="008802B1"/>
    <w:rPr>
      <w:rFonts w:ascii="宋体" w:eastAsia="宋体"/>
      <w:i/>
      <w:iCs/>
      <w:kern w:val="0"/>
      <w:sz w:val="18"/>
      <w:szCs w:val="18"/>
      <w:lang w:val="en-GB"/>
    </w:rPr>
  </w:style>
  <w:style w:type="paragraph" w:styleId="ad">
    <w:name w:val="List Paragraph"/>
    <w:basedOn w:val="a"/>
    <w:uiPriority w:val="34"/>
    <w:qFormat/>
    <w:rsid w:val="008802B1"/>
    <w:pPr>
      <w:ind w:left="720"/>
      <w:contextualSpacing/>
    </w:pPr>
  </w:style>
  <w:style w:type="paragraph" w:styleId="ae">
    <w:name w:val="Normal (Web)"/>
    <w:basedOn w:val="a"/>
    <w:uiPriority w:val="99"/>
    <w:unhideWhenUsed/>
    <w:rsid w:val="008802B1"/>
    <w:pPr>
      <w:spacing w:before="100" w:beforeAutospacing="1" w:after="100" w:afterAutospacing="1"/>
    </w:pPr>
    <w:rPr>
      <w:rFonts w:ascii="Times New Roman" w:hAnsi="Times New Roman" w:cs="Times New Roman"/>
      <w:sz w:val="24"/>
      <w:szCs w:val="24"/>
    </w:rPr>
  </w:style>
  <w:style w:type="paragraph" w:styleId="af">
    <w:name w:val="caption"/>
    <w:basedOn w:val="a"/>
    <w:next w:val="a"/>
    <w:uiPriority w:val="35"/>
    <w:unhideWhenUsed/>
    <w:qFormat/>
    <w:rsid w:val="008802B1"/>
    <w:pPr>
      <w:spacing w:line="240" w:lineRule="auto"/>
    </w:pPr>
    <w:rPr>
      <w:b/>
      <w:bCs/>
      <w:color w:val="4F81BD" w:themeColor="accent1"/>
      <w:sz w:val="18"/>
      <w:szCs w:val="18"/>
    </w:rPr>
  </w:style>
  <w:style w:type="table" w:styleId="-1">
    <w:name w:val="Light Shading Accent 1"/>
    <w:basedOn w:val="a1"/>
    <w:uiPriority w:val="60"/>
    <w:rsid w:val="008802B1"/>
    <w:pPr>
      <w:spacing w:line="288"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af0">
    <w:name w:val="Emphasis"/>
    <w:basedOn w:val="a0"/>
    <w:uiPriority w:val="20"/>
    <w:qFormat/>
    <w:rsid w:val="008802B1"/>
    <w:rPr>
      <w:i/>
      <w:iCs/>
    </w:rPr>
  </w:style>
  <w:style w:type="character" w:customStyle="1" w:styleId="apple-converted-space">
    <w:name w:val="apple-converted-space"/>
    <w:basedOn w:val="a0"/>
    <w:rsid w:val="008802B1"/>
  </w:style>
  <w:style w:type="table" w:styleId="af1">
    <w:name w:val="Table Grid"/>
    <w:basedOn w:val="a1"/>
    <w:uiPriority w:val="59"/>
    <w:rsid w:val="008802B1"/>
    <w:pPr>
      <w:spacing w:line="28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s-body-text">
    <w:name w:val="Els-body-text"/>
    <w:rsid w:val="008802B1"/>
    <w:pPr>
      <w:spacing w:line="288" w:lineRule="auto"/>
      <w:jc w:val="both"/>
    </w:pPr>
    <w:rPr>
      <w:rFonts w:ascii="Times New Roman" w:eastAsia="宋体" w:hAnsi="Times New Roman" w:cs="Times New Roman"/>
      <w:sz w:val="20"/>
      <w:szCs w:val="20"/>
      <w:lang w:eastAsia="en-US"/>
    </w:rPr>
  </w:style>
  <w:style w:type="character" w:customStyle="1" w:styleId="st1">
    <w:name w:val="st1"/>
    <w:basedOn w:val="a0"/>
    <w:rsid w:val="008802B1"/>
  </w:style>
  <w:style w:type="paragraph" w:styleId="TOC">
    <w:name w:val="TOC Heading"/>
    <w:basedOn w:val="1"/>
    <w:next w:val="a"/>
    <w:uiPriority w:val="39"/>
    <w:unhideWhenUsed/>
    <w:qFormat/>
    <w:rsid w:val="008802B1"/>
    <w:pPr>
      <w:outlineLvl w:val="9"/>
    </w:pPr>
  </w:style>
  <w:style w:type="paragraph" w:styleId="af2">
    <w:name w:val="Title"/>
    <w:basedOn w:val="a"/>
    <w:next w:val="a"/>
    <w:link w:val="af3"/>
    <w:uiPriority w:val="10"/>
    <w:qFormat/>
    <w:rsid w:val="008802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标题 字符"/>
    <w:basedOn w:val="a0"/>
    <w:link w:val="af2"/>
    <w:uiPriority w:val="10"/>
    <w:rsid w:val="008802B1"/>
    <w:rPr>
      <w:rFonts w:asciiTheme="majorHAnsi" w:eastAsiaTheme="majorEastAsia" w:hAnsiTheme="majorHAnsi" w:cstheme="majorBidi"/>
      <w:color w:val="17365D" w:themeColor="text2" w:themeShade="BF"/>
      <w:spacing w:val="5"/>
      <w:kern w:val="28"/>
      <w:sz w:val="52"/>
      <w:szCs w:val="52"/>
    </w:rPr>
  </w:style>
  <w:style w:type="paragraph" w:styleId="af4">
    <w:name w:val="Subtitle"/>
    <w:basedOn w:val="a"/>
    <w:next w:val="a"/>
    <w:link w:val="af5"/>
    <w:uiPriority w:val="11"/>
    <w:qFormat/>
    <w:rsid w:val="008802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副标题 字符"/>
    <w:basedOn w:val="a0"/>
    <w:link w:val="af4"/>
    <w:uiPriority w:val="11"/>
    <w:rsid w:val="008802B1"/>
    <w:rPr>
      <w:rFonts w:asciiTheme="majorHAnsi" w:eastAsiaTheme="majorEastAsia" w:hAnsiTheme="majorHAnsi" w:cstheme="majorBidi"/>
      <w:i/>
      <w:iCs/>
      <w:color w:val="4F81BD" w:themeColor="accent1"/>
      <w:spacing w:val="15"/>
      <w:sz w:val="24"/>
      <w:szCs w:val="24"/>
    </w:rPr>
  </w:style>
  <w:style w:type="character" w:styleId="af6">
    <w:name w:val="Strong"/>
    <w:basedOn w:val="a0"/>
    <w:uiPriority w:val="22"/>
    <w:qFormat/>
    <w:rsid w:val="008802B1"/>
    <w:rPr>
      <w:b/>
      <w:bCs/>
    </w:rPr>
  </w:style>
  <w:style w:type="paragraph" w:styleId="af7">
    <w:name w:val="Quote"/>
    <w:basedOn w:val="a"/>
    <w:next w:val="a"/>
    <w:link w:val="af8"/>
    <w:uiPriority w:val="29"/>
    <w:qFormat/>
    <w:rsid w:val="008802B1"/>
    <w:rPr>
      <w:i/>
      <w:iCs/>
      <w:color w:val="000000" w:themeColor="text1"/>
    </w:rPr>
  </w:style>
  <w:style w:type="character" w:customStyle="1" w:styleId="af8">
    <w:name w:val="引用 字符"/>
    <w:basedOn w:val="a0"/>
    <w:link w:val="af7"/>
    <w:uiPriority w:val="29"/>
    <w:rsid w:val="008802B1"/>
    <w:rPr>
      <w:i/>
      <w:iCs/>
      <w:color w:val="000000" w:themeColor="text1"/>
    </w:rPr>
  </w:style>
  <w:style w:type="paragraph" w:styleId="af9">
    <w:name w:val="Intense Quote"/>
    <w:basedOn w:val="a"/>
    <w:next w:val="a"/>
    <w:link w:val="afa"/>
    <w:uiPriority w:val="30"/>
    <w:qFormat/>
    <w:rsid w:val="008802B1"/>
    <w:pPr>
      <w:pBdr>
        <w:bottom w:val="single" w:sz="4" w:space="4" w:color="4F81BD" w:themeColor="accent1"/>
      </w:pBdr>
      <w:spacing w:before="200" w:after="280"/>
      <w:ind w:left="936" w:right="936"/>
    </w:pPr>
    <w:rPr>
      <w:b/>
      <w:bCs/>
      <w:i/>
      <w:iCs/>
      <w:color w:val="4F81BD" w:themeColor="accent1"/>
    </w:rPr>
  </w:style>
  <w:style w:type="character" w:customStyle="1" w:styleId="afa">
    <w:name w:val="明显引用 字符"/>
    <w:basedOn w:val="a0"/>
    <w:link w:val="af9"/>
    <w:uiPriority w:val="30"/>
    <w:rsid w:val="008802B1"/>
    <w:rPr>
      <w:b/>
      <w:bCs/>
      <w:i/>
      <w:iCs/>
      <w:color w:val="4F81BD" w:themeColor="accent1"/>
    </w:rPr>
  </w:style>
  <w:style w:type="character" w:styleId="afb">
    <w:name w:val="Subtle Emphasis"/>
    <w:basedOn w:val="a0"/>
    <w:uiPriority w:val="19"/>
    <w:qFormat/>
    <w:rsid w:val="008802B1"/>
    <w:rPr>
      <w:i/>
      <w:iCs/>
      <w:color w:val="808080" w:themeColor="text1" w:themeTint="7F"/>
    </w:rPr>
  </w:style>
  <w:style w:type="character" w:styleId="afc">
    <w:name w:val="Intense Emphasis"/>
    <w:basedOn w:val="a0"/>
    <w:uiPriority w:val="21"/>
    <w:qFormat/>
    <w:rsid w:val="008802B1"/>
    <w:rPr>
      <w:b/>
      <w:bCs/>
      <w:i/>
      <w:iCs/>
      <w:color w:val="4F81BD" w:themeColor="accent1"/>
    </w:rPr>
  </w:style>
  <w:style w:type="character" w:styleId="afd">
    <w:name w:val="Subtle Reference"/>
    <w:basedOn w:val="a0"/>
    <w:uiPriority w:val="31"/>
    <w:qFormat/>
    <w:rsid w:val="008802B1"/>
    <w:rPr>
      <w:smallCaps/>
      <w:color w:val="C0504D" w:themeColor="accent2"/>
      <w:u w:val="single"/>
    </w:rPr>
  </w:style>
  <w:style w:type="character" w:styleId="afe">
    <w:name w:val="Intense Reference"/>
    <w:basedOn w:val="a0"/>
    <w:uiPriority w:val="32"/>
    <w:qFormat/>
    <w:rsid w:val="008802B1"/>
    <w:rPr>
      <w:b/>
      <w:bCs/>
      <w:smallCaps/>
      <w:color w:val="C0504D" w:themeColor="accent2"/>
      <w:spacing w:val="5"/>
      <w:u w:val="single"/>
    </w:rPr>
  </w:style>
  <w:style w:type="character" w:styleId="aff">
    <w:name w:val="Book Title"/>
    <w:basedOn w:val="a0"/>
    <w:uiPriority w:val="33"/>
    <w:qFormat/>
    <w:rsid w:val="008802B1"/>
    <w:rPr>
      <w:b/>
      <w:bCs/>
      <w:smallCaps/>
      <w:spacing w:val="5"/>
    </w:rPr>
  </w:style>
  <w:style w:type="paragraph" w:styleId="11">
    <w:name w:val="toc 1"/>
    <w:basedOn w:val="a"/>
    <w:next w:val="a"/>
    <w:autoRedefine/>
    <w:uiPriority w:val="39"/>
    <w:unhideWhenUsed/>
    <w:qFormat/>
    <w:rsid w:val="008802B1"/>
    <w:pPr>
      <w:spacing w:after="120" w:line="360" w:lineRule="auto"/>
      <w:mirrorIndents/>
    </w:pPr>
    <w:rPr>
      <w:rFonts w:ascii="Times New Roman" w:hAnsi="Times New Roman"/>
      <w:i/>
      <w:sz w:val="24"/>
    </w:rPr>
  </w:style>
  <w:style w:type="paragraph" w:styleId="21">
    <w:name w:val="toc 2"/>
    <w:basedOn w:val="a"/>
    <w:next w:val="a"/>
    <w:autoRedefine/>
    <w:uiPriority w:val="39"/>
    <w:unhideWhenUsed/>
    <w:qFormat/>
    <w:rsid w:val="008802B1"/>
    <w:pPr>
      <w:spacing w:after="120" w:line="360" w:lineRule="auto"/>
      <w:ind w:left="198"/>
    </w:pPr>
    <w:rPr>
      <w:rFonts w:ascii="Times New Roman" w:hAnsi="Times New Roman"/>
      <w:i/>
      <w:sz w:val="24"/>
    </w:rPr>
  </w:style>
  <w:style w:type="character" w:styleId="aff0">
    <w:name w:val="Hyperlink"/>
    <w:basedOn w:val="a0"/>
    <w:uiPriority w:val="99"/>
    <w:unhideWhenUsed/>
    <w:rsid w:val="008802B1"/>
    <w:rPr>
      <w:color w:val="0000FF" w:themeColor="hyperlink"/>
      <w:u w:val="single"/>
    </w:rPr>
  </w:style>
  <w:style w:type="paragraph" w:customStyle="1" w:styleId="EndNoteBibliographyTitle">
    <w:name w:val="EndNote Bibliography Title"/>
    <w:basedOn w:val="a"/>
    <w:link w:val="EndNoteBibliographyTitleChar"/>
    <w:rsid w:val="008802B1"/>
    <w:pPr>
      <w:jc w:val="center"/>
    </w:pPr>
    <w:rPr>
      <w:rFonts w:ascii="Calibri" w:hAnsi="Calibri"/>
      <w:noProof/>
    </w:rPr>
  </w:style>
  <w:style w:type="character" w:customStyle="1" w:styleId="EndNoteBibliographyTitleChar">
    <w:name w:val="EndNote Bibliography Title Char"/>
    <w:basedOn w:val="a0"/>
    <w:link w:val="EndNoteBibliographyTitle"/>
    <w:rsid w:val="008802B1"/>
    <w:rPr>
      <w:rFonts w:ascii="Calibri" w:hAnsi="Calibri"/>
      <w:i/>
      <w:iCs/>
      <w:noProof/>
      <w:kern w:val="0"/>
      <w:sz w:val="20"/>
      <w:szCs w:val="20"/>
      <w:lang w:val="en-GB"/>
    </w:rPr>
  </w:style>
  <w:style w:type="paragraph" w:customStyle="1" w:styleId="EndNoteBibliography">
    <w:name w:val="EndNote Bibliography"/>
    <w:basedOn w:val="a"/>
    <w:link w:val="EndNoteBibliographyChar"/>
    <w:rsid w:val="008802B1"/>
    <w:rPr>
      <w:rFonts w:ascii="Calibri" w:hAnsi="Calibri"/>
      <w:noProof/>
    </w:rPr>
  </w:style>
  <w:style w:type="character" w:customStyle="1" w:styleId="EndNoteBibliographyChar">
    <w:name w:val="EndNote Bibliography Char"/>
    <w:basedOn w:val="a0"/>
    <w:link w:val="EndNoteBibliography"/>
    <w:rsid w:val="008802B1"/>
    <w:rPr>
      <w:rFonts w:ascii="Calibri" w:hAnsi="Calibri"/>
      <w:i/>
      <w:iCs/>
      <w:noProof/>
      <w:kern w:val="0"/>
      <w:sz w:val="20"/>
      <w:szCs w:val="20"/>
      <w:lang w:val="en-GB"/>
    </w:rPr>
  </w:style>
  <w:style w:type="table" w:styleId="aff1">
    <w:name w:val="Light Shading"/>
    <w:basedOn w:val="a1"/>
    <w:uiPriority w:val="60"/>
    <w:rsid w:val="008802B1"/>
    <w:pPr>
      <w:spacing w:line="288"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22">
    <w:name w:val="Medium List 2"/>
    <w:basedOn w:val="a1"/>
    <w:uiPriority w:val="66"/>
    <w:rsid w:val="008802B1"/>
    <w:pPr>
      <w:spacing w:line="288"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1">
    <w:name w:val="Medium Grid 1 Accent 1"/>
    <w:basedOn w:val="a1"/>
    <w:uiPriority w:val="67"/>
    <w:rsid w:val="008802B1"/>
    <w:pPr>
      <w:spacing w:line="288"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31">
    <w:name w:val="toc 3"/>
    <w:basedOn w:val="a"/>
    <w:next w:val="a"/>
    <w:autoRedefine/>
    <w:uiPriority w:val="39"/>
    <w:unhideWhenUsed/>
    <w:qFormat/>
    <w:rsid w:val="008802B1"/>
    <w:pPr>
      <w:spacing w:after="120" w:line="360" w:lineRule="auto"/>
      <w:ind w:left="403"/>
    </w:pPr>
    <w:rPr>
      <w:rFonts w:ascii="Times New Roman" w:hAnsi="Times New Roman"/>
      <w:i/>
      <w:sz w:val="24"/>
    </w:rPr>
  </w:style>
  <w:style w:type="paragraph" w:styleId="aff2">
    <w:name w:val="footnote text"/>
    <w:basedOn w:val="a"/>
    <w:link w:val="aff3"/>
    <w:uiPriority w:val="99"/>
    <w:semiHidden/>
    <w:unhideWhenUsed/>
    <w:rsid w:val="008802B1"/>
    <w:pPr>
      <w:spacing w:after="0" w:line="240" w:lineRule="auto"/>
    </w:pPr>
  </w:style>
  <w:style w:type="character" w:customStyle="1" w:styleId="aff3">
    <w:name w:val="脚注文本 字符"/>
    <w:basedOn w:val="a0"/>
    <w:link w:val="aff2"/>
    <w:uiPriority w:val="99"/>
    <w:semiHidden/>
    <w:rsid w:val="008802B1"/>
    <w:rPr>
      <w:i/>
      <w:iCs/>
      <w:kern w:val="0"/>
      <w:sz w:val="20"/>
      <w:szCs w:val="20"/>
      <w:lang w:val="en-GB"/>
    </w:rPr>
  </w:style>
  <w:style w:type="table" w:styleId="-2">
    <w:name w:val="Light Shading Accent 2"/>
    <w:basedOn w:val="a1"/>
    <w:uiPriority w:val="60"/>
    <w:rsid w:val="008802B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0">
    <w:name w:val="Light List Accent 1"/>
    <w:basedOn w:val="a1"/>
    <w:uiPriority w:val="61"/>
    <w:rsid w:val="008802B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8802B1"/>
    <w:pPr>
      <w:autoSpaceDE w:val="0"/>
      <w:autoSpaceDN w:val="0"/>
      <w:adjustRightInd w:val="0"/>
    </w:pPr>
    <w:rPr>
      <w:rFonts w:ascii="Times New Roman" w:hAnsi="Times New Roman" w:cs="Times New Roman"/>
      <w:color w:val="000000"/>
      <w:sz w:val="24"/>
      <w:szCs w:val="24"/>
      <w:lang w:val="en-GB"/>
    </w:rPr>
  </w:style>
  <w:style w:type="paragraph" w:styleId="aff4">
    <w:name w:val="table of figures"/>
    <w:basedOn w:val="a"/>
    <w:next w:val="a"/>
    <w:autoRedefine/>
    <w:uiPriority w:val="99"/>
    <w:unhideWhenUsed/>
    <w:rsid w:val="008802B1"/>
    <w:pPr>
      <w:tabs>
        <w:tab w:val="left" w:leader="dot" w:pos="1276"/>
        <w:tab w:val="right" w:leader="dot" w:pos="8777"/>
      </w:tabs>
      <w:spacing w:after="0" w:line="360" w:lineRule="auto"/>
      <w:ind w:left="1276" w:hanging="1191"/>
    </w:pPr>
    <w:rPr>
      <w:rFonts w:ascii="Times New Roman" w:hAnsi="Times New Roman"/>
      <w:i/>
      <w:sz w:val="24"/>
    </w:rPr>
  </w:style>
  <w:style w:type="paragraph" w:styleId="aff5">
    <w:name w:val="annotation subject"/>
    <w:basedOn w:val="a9"/>
    <w:next w:val="a9"/>
    <w:link w:val="aff6"/>
    <w:uiPriority w:val="99"/>
    <w:semiHidden/>
    <w:unhideWhenUsed/>
    <w:rsid w:val="008802B1"/>
    <w:pPr>
      <w:spacing w:line="240" w:lineRule="auto"/>
    </w:pPr>
    <w:rPr>
      <w:b/>
      <w:bCs/>
      <w:i w:val="0"/>
      <w:iCs w:val="0"/>
    </w:rPr>
  </w:style>
  <w:style w:type="character" w:customStyle="1" w:styleId="aff6">
    <w:name w:val="批注主题 字符"/>
    <w:basedOn w:val="aa"/>
    <w:link w:val="aff5"/>
    <w:uiPriority w:val="99"/>
    <w:semiHidden/>
    <w:rsid w:val="008802B1"/>
    <w:rPr>
      <w:b/>
      <w:bCs/>
      <w:i/>
      <w:iCs/>
      <w:kern w:val="0"/>
      <w:sz w:val="20"/>
      <w:szCs w:val="20"/>
      <w:lang w:val="en-GB"/>
    </w:rPr>
  </w:style>
  <w:style w:type="table" w:styleId="-11">
    <w:name w:val="Light Grid Accent 1"/>
    <w:basedOn w:val="a1"/>
    <w:uiPriority w:val="62"/>
    <w:rsid w:val="008802B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citationref">
    <w:name w:val="citationref"/>
    <w:basedOn w:val="a0"/>
    <w:rsid w:val="008802B1"/>
  </w:style>
  <w:style w:type="paragraph" w:customStyle="1" w:styleId="svarticle">
    <w:name w:val="svarticle"/>
    <w:basedOn w:val="a"/>
    <w:rsid w:val="008802B1"/>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comic-large">
    <w:name w:val="comic-large"/>
    <w:basedOn w:val="a"/>
    <w:rsid w:val="008802B1"/>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highlight">
    <w:name w:val="highlight"/>
    <w:basedOn w:val="a0"/>
    <w:rsid w:val="008802B1"/>
  </w:style>
  <w:style w:type="paragraph" w:styleId="41">
    <w:name w:val="toc 4"/>
    <w:basedOn w:val="a"/>
    <w:next w:val="a"/>
    <w:autoRedefine/>
    <w:uiPriority w:val="39"/>
    <w:unhideWhenUsed/>
    <w:rsid w:val="008802B1"/>
    <w:pPr>
      <w:spacing w:after="100"/>
      <w:ind w:left="660"/>
    </w:pPr>
    <w:rPr>
      <w:i/>
      <w:iCs/>
    </w:rPr>
  </w:style>
  <w:style w:type="paragraph" w:styleId="51">
    <w:name w:val="toc 5"/>
    <w:basedOn w:val="a"/>
    <w:next w:val="a"/>
    <w:autoRedefine/>
    <w:uiPriority w:val="39"/>
    <w:unhideWhenUsed/>
    <w:rsid w:val="008802B1"/>
    <w:pPr>
      <w:spacing w:after="100"/>
      <w:ind w:left="880"/>
    </w:pPr>
    <w:rPr>
      <w:i/>
      <w:iCs/>
    </w:rPr>
  </w:style>
  <w:style w:type="paragraph" w:styleId="61">
    <w:name w:val="toc 6"/>
    <w:basedOn w:val="a"/>
    <w:next w:val="a"/>
    <w:autoRedefine/>
    <w:uiPriority w:val="39"/>
    <w:unhideWhenUsed/>
    <w:rsid w:val="008802B1"/>
    <w:pPr>
      <w:spacing w:after="100"/>
      <w:ind w:left="1100"/>
    </w:pPr>
    <w:rPr>
      <w:i/>
      <w:iCs/>
    </w:rPr>
  </w:style>
  <w:style w:type="paragraph" w:styleId="71">
    <w:name w:val="toc 7"/>
    <w:basedOn w:val="a"/>
    <w:next w:val="a"/>
    <w:autoRedefine/>
    <w:uiPriority w:val="39"/>
    <w:unhideWhenUsed/>
    <w:rsid w:val="008802B1"/>
    <w:pPr>
      <w:spacing w:after="100"/>
      <w:ind w:left="1320"/>
    </w:pPr>
    <w:rPr>
      <w:i/>
      <w:iCs/>
    </w:rPr>
  </w:style>
  <w:style w:type="paragraph" w:styleId="81">
    <w:name w:val="toc 8"/>
    <w:basedOn w:val="a"/>
    <w:next w:val="a"/>
    <w:autoRedefine/>
    <w:uiPriority w:val="39"/>
    <w:unhideWhenUsed/>
    <w:rsid w:val="008802B1"/>
    <w:pPr>
      <w:spacing w:after="100"/>
      <w:ind w:left="1540"/>
    </w:pPr>
    <w:rPr>
      <w:i/>
      <w:iCs/>
    </w:rPr>
  </w:style>
  <w:style w:type="paragraph" w:styleId="91">
    <w:name w:val="toc 9"/>
    <w:basedOn w:val="a"/>
    <w:next w:val="a"/>
    <w:autoRedefine/>
    <w:uiPriority w:val="39"/>
    <w:unhideWhenUsed/>
    <w:rsid w:val="008802B1"/>
    <w:pPr>
      <w:spacing w:after="100"/>
      <w:ind w:left="1760"/>
    </w:pPr>
    <w:rPr>
      <w:i/>
      <w:iCs/>
    </w:rPr>
  </w:style>
  <w:style w:type="paragraph" w:styleId="HTML">
    <w:name w:val="HTML Preformatted"/>
    <w:basedOn w:val="a"/>
    <w:link w:val="HTML0"/>
    <w:uiPriority w:val="99"/>
    <w:semiHidden/>
    <w:unhideWhenUsed/>
    <w:rsid w:val="00880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i/>
      <w:iCs/>
    </w:rPr>
  </w:style>
  <w:style w:type="character" w:customStyle="1" w:styleId="HTML0">
    <w:name w:val="HTML 预设格式 字符"/>
    <w:basedOn w:val="a0"/>
    <w:link w:val="HTML"/>
    <w:uiPriority w:val="99"/>
    <w:semiHidden/>
    <w:rsid w:val="008802B1"/>
    <w:rPr>
      <w:rFonts w:ascii="Courier New" w:eastAsia="Times New Roman" w:hAnsi="Courier New" w:cs="Courier New"/>
      <w:kern w:val="0"/>
      <w:sz w:val="20"/>
      <w:szCs w:val="20"/>
      <w:lang w:val="en-GB"/>
    </w:rPr>
  </w:style>
  <w:style w:type="character" w:customStyle="1" w:styleId="named-content">
    <w:name w:val="named-content"/>
    <w:basedOn w:val="a0"/>
    <w:rsid w:val="008802B1"/>
  </w:style>
  <w:style w:type="paragraph" w:customStyle="1" w:styleId="mb15">
    <w:name w:val="mb15"/>
    <w:basedOn w:val="a"/>
    <w:rsid w:val="008802B1"/>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b0">
    <w:name w:val="mb0"/>
    <w:basedOn w:val="a"/>
    <w:rsid w:val="008802B1"/>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xn-money">
    <w:name w:val="xn-money"/>
    <w:basedOn w:val="a0"/>
    <w:rsid w:val="008802B1"/>
  </w:style>
  <w:style w:type="character" w:customStyle="1" w:styleId="currenthithighlight">
    <w:name w:val="currenthithighlight"/>
    <w:basedOn w:val="a0"/>
    <w:rsid w:val="00880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G:\Dropbox\Kostas_Group\Chenhao\Expt\Flux%20Analysis%20Experiment\UDC.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G:\Chemical%20Engineering\Chenhao-Dropbox\Expt\Flux%20Analysis%20Experiment\UDC.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G:\Dropbox\Kostas_Group\Chenhao\Expt\Flux%20Analysis%20Experiment\UDC.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G:\Dropbox\Kostas_Group\Chenhao\Expt\Flux%20Analysis%20Experiment\UDC.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G:\Dropbox\Kostas_Group\Chenhao\Expt\Flux%20Analysis%20Experiment\UDC.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Dropbox\Kostas_Group\Chenhao\Expt\HPLC\201501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Dropbox\Kostas_Group\Chenhao\Expt\HPLC\201501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Dropbox\Kostas_Group\Chenhao\Expt\HPLC\201501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G:\Dropbox\Kostas_Group\Chenhao\Expt\HPLC\201501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G:\Dropbox\Kostas_Group\Chenhao\Expt\HPLC\20150120.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G:\Dropbox\Kostas_Group\Chenhao\Expt\Flux%20Analysis%20Experiment\Aeration%20Expt.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hp\Desktop\&#26032;&#24314;%20Microsoft%20Excel%20&#24037;&#20316;&#3492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G:\Chemical%20Engineering\Chenhao-Dropbox\Expt\Flux%20Analysis%20Experiment\UD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9569723244557193E-2"/>
          <c:y val="3.7846424073634678E-2"/>
          <c:w val="0.85003070907832035"/>
          <c:h val="0.80066461637154362"/>
        </c:manualLayout>
      </c:layout>
      <c:scatterChart>
        <c:scatterStyle val="lineMarker"/>
        <c:varyColors val="0"/>
        <c:ser>
          <c:idx val="0"/>
          <c:order val="0"/>
          <c:tx>
            <c:v>TDW &lt; 3 g/l</c:v>
          </c:tx>
          <c:spPr>
            <a:ln w="28575">
              <a:noFill/>
            </a:ln>
          </c:spPr>
          <c:marker>
            <c:symbol val="circle"/>
            <c:size val="4"/>
            <c:spPr>
              <a:noFill/>
              <a:ln>
                <a:solidFill>
                  <a:schemeClr val="tx1"/>
                </a:solidFill>
              </a:ln>
            </c:spPr>
          </c:marker>
          <c:trendline>
            <c:trendlineType val="poly"/>
            <c:order val="2"/>
            <c:intercept val="0"/>
            <c:dispRSqr val="0"/>
            <c:dispEq val="0"/>
          </c:trendline>
          <c:xVal>
            <c:numRef>
              <c:f>'OD vs DCW'!$C$3:$C$22</c:f>
              <c:numCache>
                <c:formatCode>0.00</c:formatCode>
                <c:ptCount val="20"/>
                <c:pt idx="0">
                  <c:v>0.55500000000000005</c:v>
                </c:pt>
                <c:pt idx="1">
                  <c:v>2.48</c:v>
                </c:pt>
                <c:pt idx="2">
                  <c:v>9.6999999999999993</c:v>
                </c:pt>
                <c:pt idx="3">
                  <c:v>11.5</c:v>
                </c:pt>
                <c:pt idx="4">
                  <c:v>9.74</c:v>
                </c:pt>
                <c:pt idx="5">
                  <c:v>16.78</c:v>
                </c:pt>
                <c:pt idx="6">
                  <c:v>10.540000000000001</c:v>
                </c:pt>
                <c:pt idx="7">
                  <c:v>13.799999999999999</c:v>
                </c:pt>
                <c:pt idx="8">
                  <c:v>10.780000000000001</c:v>
                </c:pt>
                <c:pt idx="9">
                  <c:v>15.760000000000002</c:v>
                </c:pt>
                <c:pt idx="10">
                  <c:v>0.76</c:v>
                </c:pt>
                <c:pt idx="11">
                  <c:v>6.7</c:v>
                </c:pt>
                <c:pt idx="12">
                  <c:v>10.52</c:v>
                </c:pt>
                <c:pt idx="13">
                  <c:v>2.9699999999999998</c:v>
                </c:pt>
                <c:pt idx="14">
                  <c:v>7.1099999999999994</c:v>
                </c:pt>
                <c:pt idx="15">
                  <c:v>14.1</c:v>
                </c:pt>
                <c:pt idx="16">
                  <c:v>5.07</c:v>
                </c:pt>
                <c:pt idx="17">
                  <c:v>6.38</c:v>
                </c:pt>
                <c:pt idx="18">
                  <c:v>14.76</c:v>
                </c:pt>
                <c:pt idx="19">
                  <c:v>7.9600000000000009</c:v>
                </c:pt>
              </c:numCache>
            </c:numRef>
          </c:xVal>
          <c:yVal>
            <c:numRef>
              <c:f>'OD vs DCW'!$B$3:$B$22</c:f>
              <c:numCache>
                <c:formatCode>0.00</c:formatCode>
                <c:ptCount val="20"/>
                <c:pt idx="0">
                  <c:v>0.15399999999999933</c:v>
                </c:pt>
                <c:pt idx="1">
                  <c:v>1.0999999999999739</c:v>
                </c:pt>
                <c:pt idx="2">
                  <c:v>2.4000000000000021</c:v>
                </c:pt>
                <c:pt idx="3">
                  <c:v>3.5214285714286118</c:v>
                </c:pt>
                <c:pt idx="4">
                  <c:v>2.4583333333335253</c:v>
                </c:pt>
                <c:pt idx="5">
                  <c:v>3.9249999999997343</c:v>
                </c:pt>
                <c:pt idx="6">
                  <c:v>2.8512820512820563</c:v>
                </c:pt>
                <c:pt idx="7">
                  <c:v>3.4051282051281944</c:v>
                </c:pt>
                <c:pt idx="8">
                  <c:v>2.8729281767955577</c:v>
                </c:pt>
                <c:pt idx="9">
                  <c:v>3.7641025641025365</c:v>
                </c:pt>
                <c:pt idx="10">
                  <c:v>0.10733333333335557</c:v>
                </c:pt>
                <c:pt idx="11">
                  <c:v>1.4408602150537482</c:v>
                </c:pt>
                <c:pt idx="12">
                  <c:v>2.9139784946236458</c:v>
                </c:pt>
                <c:pt idx="13">
                  <c:v>0.9100000000000108</c:v>
                </c:pt>
                <c:pt idx="14">
                  <c:v>2.0219999999999771</c:v>
                </c:pt>
                <c:pt idx="15">
                  <c:v>3.2600000000000051</c:v>
                </c:pt>
                <c:pt idx="16">
                  <c:v>1.7052631578947828</c:v>
                </c:pt>
                <c:pt idx="17">
                  <c:v>1.9263157894736824</c:v>
                </c:pt>
                <c:pt idx="18">
                  <c:v>3.6421052631579145</c:v>
                </c:pt>
                <c:pt idx="19">
                  <c:v>2.3684210526315752</c:v>
                </c:pt>
              </c:numCache>
            </c:numRef>
          </c:yVal>
          <c:smooth val="0"/>
          <c:extLst>
            <c:ext xmlns:c16="http://schemas.microsoft.com/office/drawing/2014/chart" uri="{C3380CC4-5D6E-409C-BE32-E72D297353CC}">
              <c16:uniqueId val="{00000000-F1A5-4943-8032-0C666E23ACC0}"/>
            </c:ext>
          </c:extLst>
        </c:ser>
        <c:ser>
          <c:idx val="1"/>
          <c:order val="1"/>
          <c:tx>
            <c:v>TDW &gt; 3 g/l</c:v>
          </c:tx>
          <c:spPr>
            <a:ln w="28575">
              <a:noFill/>
            </a:ln>
          </c:spPr>
          <c:marker>
            <c:symbol val="circle"/>
            <c:size val="4"/>
            <c:spPr>
              <a:solidFill>
                <a:srgbClr val="002060"/>
              </a:solidFill>
              <a:ln>
                <a:noFill/>
              </a:ln>
            </c:spPr>
          </c:marker>
          <c:trendline>
            <c:trendlineType val="linear"/>
            <c:dispRSqr val="0"/>
            <c:dispEq val="0"/>
          </c:trendline>
          <c:xVal>
            <c:numRef>
              <c:f>'OD vs DCW'!$C$25:$C$97</c:f>
              <c:numCache>
                <c:formatCode>0.00</c:formatCode>
                <c:ptCount val="73"/>
                <c:pt idx="0">
                  <c:v>11.5</c:v>
                </c:pt>
                <c:pt idx="1">
                  <c:v>16.579999999999998</c:v>
                </c:pt>
                <c:pt idx="2">
                  <c:v>23.64</c:v>
                </c:pt>
                <c:pt idx="3">
                  <c:v>22.72</c:v>
                </c:pt>
                <c:pt idx="4">
                  <c:v>24.88</c:v>
                </c:pt>
                <c:pt idx="5">
                  <c:v>24.119999999999997</c:v>
                </c:pt>
                <c:pt idx="6">
                  <c:v>21.92</c:v>
                </c:pt>
                <c:pt idx="7">
                  <c:v>16.78</c:v>
                </c:pt>
                <c:pt idx="8">
                  <c:v>20.92</c:v>
                </c:pt>
                <c:pt idx="9">
                  <c:v>17.98</c:v>
                </c:pt>
                <c:pt idx="10">
                  <c:v>22.799999999999997</c:v>
                </c:pt>
                <c:pt idx="11">
                  <c:v>21.12</c:v>
                </c:pt>
                <c:pt idx="12">
                  <c:v>28.2</c:v>
                </c:pt>
                <c:pt idx="13">
                  <c:v>29.24</c:v>
                </c:pt>
                <c:pt idx="14">
                  <c:v>27.68</c:v>
                </c:pt>
                <c:pt idx="15">
                  <c:v>30.52</c:v>
                </c:pt>
                <c:pt idx="16">
                  <c:v>31.48</c:v>
                </c:pt>
                <c:pt idx="17" formatCode="General">
                  <c:v>13.799999999999999</c:v>
                </c:pt>
                <c:pt idx="18" formatCode="General">
                  <c:v>17.18</c:v>
                </c:pt>
                <c:pt idx="19" formatCode="General">
                  <c:v>25.16</c:v>
                </c:pt>
                <c:pt idx="20" formatCode="General">
                  <c:v>24.28</c:v>
                </c:pt>
                <c:pt idx="21" formatCode="General">
                  <c:v>25.76</c:v>
                </c:pt>
                <c:pt idx="22" formatCode="General">
                  <c:v>29.36</c:v>
                </c:pt>
                <c:pt idx="23" formatCode="General">
                  <c:v>29.8</c:v>
                </c:pt>
                <c:pt idx="24" formatCode="General">
                  <c:v>29.119999999999997</c:v>
                </c:pt>
                <c:pt idx="25" formatCode="General">
                  <c:v>30.64</c:v>
                </c:pt>
                <c:pt idx="26" formatCode="General">
                  <c:v>32.76</c:v>
                </c:pt>
                <c:pt idx="27" formatCode="General">
                  <c:v>15.760000000000002</c:v>
                </c:pt>
                <c:pt idx="28" formatCode="General">
                  <c:v>17.72</c:v>
                </c:pt>
                <c:pt idx="29" formatCode="General">
                  <c:v>21.36</c:v>
                </c:pt>
                <c:pt idx="30" formatCode="General">
                  <c:v>24.6</c:v>
                </c:pt>
                <c:pt idx="31" formatCode="General">
                  <c:v>24.439999999999998</c:v>
                </c:pt>
                <c:pt idx="32" formatCode="General">
                  <c:v>26.8</c:v>
                </c:pt>
                <c:pt idx="33" formatCode="General">
                  <c:v>29.4</c:v>
                </c:pt>
                <c:pt idx="34" formatCode="General">
                  <c:v>27.160000000000004</c:v>
                </c:pt>
                <c:pt idx="35" formatCode="General">
                  <c:v>31.32</c:v>
                </c:pt>
                <c:pt idx="36" formatCode="General">
                  <c:v>29.52</c:v>
                </c:pt>
                <c:pt idx="37" formatCode="General">
                  <c:v>21.04</c:v>
                </c:pt>
                <c:pt idx="38" formatCode="General">
                  <c:v>24.4</c:v>
                </c:pt>
                <c:pt idx="39" formatCode="General">
                  <c:v>14.1</c:v>
                </c:pt>
                <c:pt idx="40" formatCode="General">
                  <c:v>17.079999999999998</c:v>
                </c:pt>
                <c:pt idx="41" formatCode="General">
                  <c:v>17.920000000000002</c:v>
                </c:pt>
                <c:pt idx="42" formatCode="General">
                  <c:v>19.119999999999997</c:v>
                </c:pt>
                <c:pt idx="43" formatCode="General">
                  <c:v>24.32</c:v>
                </c:pt>
                <c:pt idx="44" formatCode="General">
                  <c:v>30.76</c:v>
                </c:pt>
                <c:pt idx="45" formatCode="General">
                  <c:v>30.12</c:v>
                </c:pt>
                <c:pt idx="46" formatCode="General">
                  <c:v>29.8</c:v>
                </c:pt>
                <c:pt idx="47" formatCode="General">
                  <c:v>30.52</c:v>
                </c:pt>
                <c:pt idx="48" formatCode="General">
                  <c:v>34.04</c:v>
                </c:pt>
                <c:pt idx="49" formatCode="General">
                  <c:v>38.96</c:v>
                </c:pt>
                <c:pt idx="50" formatCode="General">
                  <c:v>35.44</c:v>
                </c:pt>
                <c:pt idx="51" formatCode="General">
                  <c:v>30.4</c:v>
                </c:pt>
                <c:pt idx="52" formatCode="General">
                  <c:v>37.68</c:v>
                </c:pt>
                <c:pt idx="53" formatCode="General">
                  <c:v>36.72</c:v>
                </c:pt>
                <c:pt idx="54" formatCode="General">
                  <c:v>14.76</c:v>
                </c:pt>
                <c:pt idx="55" formatCode="General">
                  <c:v>22.200000000000003</c:v>
                </c:pt>
                <c:pt idx="56" formatCode="General">
                  <c:v>27.799999999999997</c:v>
                </c:pt>
                <c:pt idx="57" formatCode="General">
                  <c:v>27.519999999999996</c:v>
                </c:pt>
                <c:pt idx="58" formatCode="General">
                  <c:v>31.080000000000002</c:v>
                </c:pt>
                <c:pt idx="59" formatCode="General">
                  <c:v>28.36</c:v>
                </c:pt>
                <c:pt idx="60" formatCode="General">
                  <c:v>25.880000000000003</c:v>
                </c:pt>
                <c:pt idx="61" formatCode="General">
                  <c:v>33.76</c:v>
                </c:pt>
                <c:pt idx="62" formatCode="General">
                  <c:v>29.4</c:v>
                </c:pt>
                <c:pt idx="63" formatCode="General">
                  <c:v>15.18</c:v>
                </c:pt>
                <c:pt idx="64" formatCode="General">
                  <c:v>18.380000000000003</c:v>
                </c:pt>
                <c:pt idx="65" formatCode="General">
                  <c:v>20.12</c:v>
                </c:pt>
                <c:pt idx="66" formatCode="General">
                  <c:v>27.160000000000004</c:v>
                </c:pt>
                <c:pt idx="67" formatCode="General">
                  <c:v>30.2</c:v>
                </c:pt>
                <c:pt idx="68" formatCode="General">
                  <c:v>31.48</c:v>
                </c:pt>
                <c:pt idx="69" formatCode="General">
                  <c:v>27.360000000000003</c:v>
                </c:pt>
                <c:pt idx="70" formatCode="General">
                  <c:v>32.68</c:v>
                </c:pt>
                <c:pt idx="71" formatCode="General">
                  <c:v>32.64</c:v>
                </c:pt>
                <c:pt idx="72" formatCode="General">
                  <c:v>35.76</c:v>
                </c:pt>
              </c:numCache>
            </c:numRef>
          </c:xVal>
          <c:yVal>
            <c:numRef>
              <c:f>'OD vs DCW'!$B$25:$B$97</c:f>
              <c:numCache>
                <c:formatCode>0.00</c:formatCode>
                <c:ptCount val="73"/>
                <c:pt idx="0">
                  <c:v>3.5214285714286118</c:v>
                </c:pt>
                <c:pt idx="1">
                  <c:v>4.0000000000000338</c:v>
                </c:pt>
                <c:pt idx="2">
                  <c:v>5.3266666666666875</c:v>
                </c:pt>
                <c:pt idx="3">
                  <c:v>5.2266666666666834</c:v>
                </c:pt>
                <c:pt idx="4">
                  <c:v>5.0800000000000036</c:v>
                </c:pt>
                <c:pt idx="5">
                  <c:v>4.9140211640211664</c:v>
                </c:pt>
                <c:pt idx="6">
                  <c:v>4.2769999999999797</c:v>
                </c:pt>
                <c:pt idx="7">
                  <c:v>3.9249999999997343</c:v>
                </c:pt>
                <c:pt idx="8">
                  <c:v>4.4500000000001094</c:v>
                </c:pt>
                <c:pt idx="9">
                  <c:v>4.0800000000000836</c:v>
                </c:pt>
                <c:pt idx="10">
                  <c:v>4.8229999999999507</c:v>
                </c:pt>
                <c:pt idx="11">
                  <c:v>4.77800000000002</c:v>
                </c:pt>
                <c:pt idx="12">
                  <c:v>5.5119999999999791</c:v>
                </c:pt>
                <c:pt idx="13">
                  <c:v>5.8539999999999459</c:v>
                </c:pt>
                <c:pt idx="14">
                  <c:v>5.8550000000000146</c:v>
                </c:pt>
                <c:pt idx="15">
                  <c:v>6.2620000000000431</c:v>
                </c:pt>
                <c:pt idx="16">
                  <c:v>6.8040000000000056</c:v>
                </c:pt>
                <c:pt idx="17" formatCode="General">
                  <c:v>3.4051282051281944</c:v>
                </c:pt>
                <c:pt idx="18" formatCode="General">
                  <c:v>4.1025641025641066</c:v>
                </c:pt>
                <c:pt idx="19" formatCode="General">
                  <c:v>5.0051282051282007</c:v>
                </c:pt>
                <c:pt idx="20" formatCode="General">
                  <c:v>5.1487179487178825</c:v>
                </c:pt>
                <c:pt idx="21" formatCode="General">
                  <c:v>5.1999999999999966</c:v>
                </c:pt>
                <c:pt idx="22" formatCode="General">
                  <c:v>5.5368421052631556</c:v>
                </c:pt>
                <c:pt idx="23" formatCode="General">
                  <c:v>6.0842105263158208</c:v>
                </c:pt>
                <c:pt idx="24" formatCode="General">
                  <c:v>6.2105263157895845</c:v>
                </c:pt>
                <c:pt idx="25" formatCode="General">
                  <c:v>6.400000000000043</c:v>
                </c:pt>
                <c:pt idx="26" formatCode="General">
                  <c:v>7.3399999999999466</c:v>
                </c:pt>
                <c:pt idx="27" formatCode="General">
                  <c:v>3.7641025641025365</c:v>
                </c:pt>
                <c:pt idx="28" formatCode="General">
                  <c:v>4.4307692307691982</c:v>
                </c:pt>
                <c:pt idx="29" formatCode="General">
                  <c:v>4.512820512820471</c:v>
                </c:pt>
                <c:pt idx="30" formatCode="General">
                  <c:v>5.3128205128205197</c:v>
                </c:pt>
                <c:pt idx="31" formatCode="General">
                  <c:v>5.0358974358973594</c:v>
                </c:pt>
                <c:pt idx="32" formatCode="General">
                  <c:v>5.4947368421053593</c:v>
                </c:pt>
                <c:pt idx="33" formatCode="General">
                  <c:v>5.9789473684209549</c:v>
                </c:pt>
                <c:pt idx="34" formatCode="General">
                  <c:v>5.91578947368426</c:v>
                </c:pt>
                <c:pt idx="35" formatCode="General">
                  <c:v>6.5894736842106889</c:v>
                </c:pt>
                <c:pt idx="36" formatCode="General">
                  <c:v>6.6799999999999748</c:v>
                </c:pt>
                <c:pt idx="37" formatCode="General">
                  <c:v>4.9462365591397184</c:v>
                </c:pt>
                <c:pt idx="38" formatCode="General">
                  <c:v>5.9892473118279428</c:v>
                </c:pt>
                <c:pt idx="39" formatCode="General">
                  <c:v>3.2600000000000051</c:v>
                </c:pt>
                <c:pt idx="40" formatCode="General">
                  <c:v>4.0500000000000114</c:v>
                </c:pt>
                <c:pt idx="41" formatCode="General">
                  <c:v>4.054000000000002</c:v>
                </c:pt>
                <c:pt idx="42" formatCode="General">
                  <c:v>4.1360000000000241</c:v>
                </c:pt>
                <c:pt idx="43" formatCode="General">
                  <c:v>5.0019999999999953</c:v>
                </c:pt>
                <c:pt idx="44" formatCode="General">
                  <c:v>6.3477272727272549</c:v>
                </c:pt>
                <c:pt idx="45" formatCode="General">
                  <c:v>6.402000000000001</c:v>
                </c:pt>
                <c:pt idx="46" formatCode="General">
                  <c:v>6.617999999999995</c:v>
                </c:pt>
                <c:pt idx="47" formatCode="General">
                  <c:v>6.2580000000000169</c:v>
                </c:pt>
                <c:pt idx="48" formatCode="General">
                  <c:v>6.8880000000000052</c:v>
                </c:pt>
                <c:pt idx="49" formatCode="General">
                  <c:v>7.5760000000000005</c:v>
                </c:pt>
                <c:pt idx="50" formatCode="General">
                  <c:v>6.7960000000000065</c:v>
                </c:pt>
                <c:pt idx="51" formatCode="General">
                  <c:v>6.2979999999999947</c:v>
                </c:pt>
                <c:pt idx="52" formatCode="General">
                  <c:v>7.4220000000000041</c:v>
                </c:pt>
                <c:pt idx="53" formatCode="General">
                  <c:v>7.2259999999999991</c:v>
                </c:pt>
                <c:pt idx="54" formatCode="General">
                  <c:v>3.6421052631579145</c:v>
                </c:pt>
                <c:pt idx="55" formatCode="General">
                  <c:v>4.841025641025654</c:v>
                </c:pt>
                <c:pt idx="56" formatCode="General">
                  <c:v>5.5589743589743392</c:v>
                </c:pt>
                <c:pt idx="57" formatCode="General">
                  <c:v>5.7052631578947164</c:v>
                </c:pt>
                <c:pt idx="58" formatCode="General">
                  <c:v>6.210526315789398</c:v>
                </c:pt>
                <c:pt idx="59" formatCode="General">
                  <c:v>5.9368421052631586</c:v>
                </c:pt>
                <c:pt idx="60" formatCode="General">
                  <c:v>5.9789473684211423</c:v>
                </c:pt>
                <c:pt idx="61" formatCode="General">
                  <c:v>7.3263157894736253</c:v>
                </c:pt>
                <c:pt idx="62" formatCode="General">
                  <c:v>6.2947368421053644</c:v>
                </c:pt>
                <c:pt idx="63" formatCode="General">
                  <c:v>3.6736842105262619</c:v>
                </c:pt>
                <c:pt idx="64" formatCode="General">
                  <c:v>4.5263157894736068</c:v>
                </c:pt>
                <c:pt idx="65" formatCode="General">
                  <c:v>4.4205128205128119</c:v>
                </c:pt>
                <c:pt idx="66" formatCode="General">
                  <c:v>5.456410256410293</c:v>
                </c:pt>
                <c:pt idx="67" formatCode="General">
                  <c:v>6.0000000000000409</c:v>
                </c:pt>
                <c:pt idx="68" formatCode="General">
                  <c:v>6.315789473684263</c:v>
                </c:pt>
                <c:pt idx="69" formatCode="General">
                  <c:v>5.9368421052631586</c:v>
                </c:pt>
                <c:pt idx="70" formatCode="General">
                  <c:v>7.0105263157895896</c:v>
                </c:pt>
                <c:pt idx="71" formatCode="General">
                  <c:v>7.0526315789473868</c:v>
                </c:pt>
                <c:pt idx="72" formatCode="General">
                  <c:v>7.4526315789473889</c:v>
                </c:pt>
              </c:numCache>
            </c:numRef>
          </c:yVal>
          <c:smooth val="0"/>
          <c:extLst>
            <c:ext xmlns:c16="http://schemas.microsoft.com/office/drawing/2014/chart" uri="{C3380CC4-5D6E-409C-BE32-E72D297353CC}">
              <c16:uniqueId val="{00000001-F1A5-4943-8032-0C666E23ACC0}"/>
            </c:ext>
          </c:extLst>
        </c:ser>
        <c:dLbls>
          <c:showLegendKey val="0"/>
          <c:showVal val="0"/>
          <c:showCatName val="0"/>
          <c:showSerName val="0"/>
          <c:showPercent val="0"/>
          <c:showBubbleSize val="0"/>
        </c:dLbls>
        <c:axId val="233777792"/>
        <c:axId val="233788160"/>
      </c:scatterChart>
      <c:valAx>
        <c:axId val="233777792"/>
        <c:scaling>
          <c:orientation val="minMax"/>
        </c:scaling>
        <c:delete val="0"/>
        <c:axPos val="b"/>
        <c:title>
          <c:tx>
            <c:rich>
              <a:bodyPr/>
              <a:lstStyle/>
              <a:p>
                <a:pPr>
                  <a:defRPr/>
                </a:pPr>
                <a:r>
                  <a:rPr lang="en-US"/>
                  <a:t>O.D.</a:t>
                </a:r>
                <a:endParaRPr lang="zh-CN"/>
              </a:p>
            </c:rich>
          </c:tx>
          <c:overlay val="0"/>
        </c:title>
        <c:numFmt formatCode="0.00" sourceLinked="1"/>
        <c:majorTickMark val="out"/>
        <c:minorTickMark val="none"/>
        <c:tickLblPos val="nextTo"/>
        <c:crossAx val="233788160"/>
        <c:crosses val="autoZero"/>
        <c:crossBetween val="midCat"/>
      </c:valAx>
      <c:valAx>
        <c:axId val="233788160"/>
        <c:scaling>
          <c:orientation val="minMax"/>
        </c:scaling>
        <c:delete val="0"/>
        <c:axPos val="l"/>
        <c:majorGridlines/>
        <c:title>
          <c:tx>
            <c:rich>
              <a:bodyPr rot="-5400000" vert="horz"/>
              <a:lstStyle/>
              <a:p>
                <a:pPr>
                  <a:defRPr/>
                </a:pPr>
                <a:r>
                  <a:rPr lang="en-US"/>
                  <a:t>TDW (g/l)</a:t>
                </a:r>
                <a:endParaRPr lang="zh-CN"/>
              </a:p>
            </c:rich>
          </c:tx>
          <c:overlay val="0"/>
        </c:title>
        <c:numFmt formatCode="0.00" sourceLinked="1"/>
        <c:majorTickMark val="out"/>
        <c:minorTickMark val="none"/>
        <c:tickLblPos val="nextTo"/>
        <c:crossAx val="233777792"/>
        <c:crosses val="autoZero"/>
        <c:crossBetween val="midCat"/>
      </c:valAx>
    </c:plotArea>
    <c:legend>
      <c:legendPos val="r"/>
      <c:legendEntry>
        <c:idx val="2"/>
        <c:delete val="1"/>
      </c:legendEntry>
      <c:legendEntry>
        <c:idx val="3"/>
        <c:delete val="1"/>
      </c:legendEntry>
      <c:overlay val="0"/>
    </c:legend>
    <c:plotVisOnly val="1"/>
    <c:dispBlanksAs val="gap"/>
    <c:showDLblsOverMax val="0"/>
  </c:chart>
  <c:txPr>
    <a:bodyPr/>
    <a:lstStyle/>
    <a:p>
      <a:pPr>
        <a:defRPr b="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948233429859557"/>
          <c:y val="5.1400554097404488E-2"/>
          <c:w val="0.71896319616325788"/>
          <c:h val="0.78705064636559108"/>
        </c:manualLayout>
      </c:layout>
      <c:scatterChart>
        <c:scatterStyle val="lineMarker"/>
        <c:varyColors val="0"/>
        <c:ser>
          <c:idx val="0"/>
          <c:order val="0"/>
          <c:tx>
            <c:v>Original</c:v>
          </c:tx>
          <c:spPr>
            <a:ln w="28575">
              <a:solidFill>
                <a:srgbClr val="0070C0"/>
              </a:solidFill>
            </a:ln>
          </c:spPr>
          <c:marker>
            <c:symbol val="triangle"/>
            <c:size val="7"/>
            <c:spPr>
              <a:solidFill>
                <a:srgbClr val="0070C0"/>
              </a:solidFill>
              <a:ln>
                <a:solidFill>
                  <a:srgbClr val="0070C0"/>
                </a:solidFill>
              </a:ln>
            </c:spPr>
          </c:marker>
          <c:xVal>
            <c:numRef>
              <c:f>'60AS1B'!$AM$22:$AM$36</c:f>
              <c:numCache>
                <c:formatCode>General</c:formatCode>
                <c:ptCount val="15"/>
                <c:pt idx="0">
                  <c:v>6</c:v>
                </c:pt>
                <c:pt idx="1">
                  <c:v>17.600000000000001</c:v>
                </c:pt>
                <c:pt idx="2">
                  <c:v>24</c:v>
                </c:pt>
                <c:pt idx="3">
                  <c:v>27</c:v>
                </c:pt>
                <c:pt idx="4">
                  <c:v>33</c:v>
                </c:pt>
                <c:pt idx="5">
                  <c:v>39.5</c:v>
                </c:pt>
                <c:pt idx="6">
                  <c:v>43</c:v>
                </c:pt>
                <c:pt idx="7">
                  <c:v>45.5</c:v>
                </c:pt>
                <c:pt idx="8">
                  <c:v>51.5</c:v>
                </c:pt>
                <c:pt idx="9">
                  <c:v>56</c:v>
                </c:pt>
                <c:pt idx="10">
                  <c:v>62</c:v>
                </c:pt>
                <c:pt idx="11">
                  <c:v>65</c:v>
                </c:pt>
                <c:pt idx="12">
                  <c:v>69</c:v>
                </c:pt>
                <c:pt idx="13">
                  <c:v>75</c:v>
                </c:pt>
                <c:pt idx="14">
                  <c:v>88</c:v>
                </c:pt>
              </c:numCache>
            </c:numRef>
          </c:xVal>
          <c:yVal>
            <c:numRef>
              <c:f>'60AS1B'!$AQ$23:$AQ$36</c:f>
              <c:numCache>
                <c:formatCode>General</c:formatCode>
                <c:ptCount val="14"/>
                <c:pt idx="0">
                  <c:v>6.4963522874783028E-3</c:v>
                </c:pt>
                <c:pt idx="1">
                  <c:v>1.2546097204618297E-2</c:v>
                </c:pt>
                <c:pt idx="2">
                  <c:v>1.2308426058975835E-2</c:v>
                </c:pt>
                <c:pt idx="3">
                  <c:v>9.3425718039857331E-2</c:v>
                </c:pt>
                <c:pt idx="4">
                  <c:v>9.960583914054276E-2</c:v>
                </c:pt>
                <c:pt idx="5">
                  <c:v>0.13677891816163104</c:v>
                </c:pt>
                <c:pt idx="6">
                  <c:v>5.5127808253107521E-2</c:v>
                </c:pt>
                <c:pt idx="7">
                  <c:v>0.10613645920534442</c:v>
                </c:pt>
                <c:pt idx="8">
                  <c:v>0.25209864711489555</c:v>
                </c:pt>
                <c:pt idx="9">
                  <c:v>3.3666568340925705E-2</c:v>
                </c:pt>
                <c:pt idx="10">
                  <c:v>0.21174104251869696</c:v>
                </c:pt>
                <c:pt idx="11">
                  <c:v>-3.8287682287534874E-2</c:v>
                </c:pt>
                <c:pt idx="12">
                  <c:v>0.13556945382441166</c:v>
                </c:pt>
                <c:pt idx="13">
                  <c:v>-1.2247918976741473E-3</c:v>
                </c:pt>
              </c:numCache>
            </c:numRef>
          </c:yVal>
          <c:smooth val="0"/>
          <c:extLst>
            <c:ext xmlns:c16="http://schemas.microsoft.com/office/drawing/2014/chart" uri="{C3380CC4-5D6E-409C-BE32-E72D297353CC}">
              <c16:uniqueId val="{00000000-CD98-4E5C-90FC-3AE7FE0D42A6}"/>
            </c:ext>
          </c:extLst>
        </c:ser>
        <c:ser>
          <c:idx val="1"/>
          <c:order val="1"/>
          <c:tx>
            <c:v>Smoothed</c:v>
          </c:tx>
          <c:spPr>
            <a:ln w="28575">
              <a:solidFill>
                <a:srgbClr val="C00000"/>
              </a:solidFill>
            </a:ln>
          </c:spPr>
          <c:marker>
            <c:symbol val="circle"/>
            <c:size val="4"/>
            <c:spPr>
              <a:solidFill>
                <a:srgbClr val="C00000"/>
              </a:solidFill>
              <a:ln>
                <a:solidFill>
                  <a:srgbClr val="C00000"/>
                </a:solidFill>
              </a:ln>
            </c:spPr>
          </c:marker>
          <c:xVal>
            <c:numRef>
              <c:f>'60AS1B'!$AM$22:$AM$36</c:f>
              <c:numCache>
                <c:formatCode>General</c:formatCode>
                <c:ptCount val="15"/>
                <c:pt idx="0">
                  <c:v>6</c:v>
                </c:pt>
                <c:pt idx="1">
                  <c:v>17.600000000000001</c:v>
                </c:pt>
                <c:pt idx="2">
                  <c:v>24</c:v>
                </c:pt>
                <c:pt idx="3">
                  <c:v>27</c:v>
                </c:pt>
                <c:pt idx="4">
                  <c:v>33</c:v>
                </c:pt>
                <c:pt idx="5">
                  <c:v>39.5</c:v>
                </c:pt>
                <c:pt idx="6">
                  <c:v>43</c:v>
                </c:pt>
                <c:pt idx="7">
                  <c:v>45.5</c:v>
                </c:pt>
                <c:pt idx="8">
                  <c:v>51.5</c:v>
                </c:pt>
                <c:pt idx="9">
                  <c:v>56</c:v>
                </c:pt>
                <c:pt idx="10">
                  <c:v>62</c:v>
                </c:pt>
                <c:pt idx="11">
                  <c:v>65</c:v>
                </c:pt>
                <c:pt idx="12">
                  <c:v>69</c:v>
                </c:pt>
                <c:pt idx="13">
                  <c:v>75</c:v>
                </c:pt>
                <c:pt idx="14">
                  <c:v>88</c:v>
                </c:pt>
              </c:numCache>
            </c:numRef>
          </c:xVal>
          <c:yVal>
            <c:numRef>
              <c:f>'60AS1B'!$AR$22:$AR$36</c:f>
              <c:numCache>
                <c:formatCode>General</c:formatCode>
                <c:ptCount val="15"/>
                <c:pt idx="0">
                  <c:v>2.3294727357501791E-3</c:v>
                </c:pt>
                <c:pt idx="1">
                  <c:v>6.9056655338664624E-3</c:v>
                </c:pt>
                <c:pt idx="2">
                  <c:v>1.8814276922668866E-2</c:v>
                </c:pt>
                <c:pt idx="3">
                  <c:v>1.7927035469189789E-2</c:v>
                </c:pt>
                <c:pt idx="4">
                  <c:v>6.7959391599999933E-2</c:v>
                </c:pt>
                <c:pt idx="5">
                  <c:v>0.1097193967249995</c:v>
                </c:pt>
                <c:pt idx="6">
                  <c:v>0.12789765682500079</c:v>
                </c:pt>
                <c:pt idx="7">
                  <c:v>0.13265984188499971</c:v>
                </c:pt>
                <c:pt idx="8">
                  <c:v>0.13240145540000015</c:v>
                </c:pt>
                <c:pt idx="9">
                  <c:v>0.12432196317500023</c:v>
                </c:pt>
                <c:pt idx="10">
                  <c:v>0.10875145279999998</c:v>
                </c:pt>
                <c:pt idx="11">
                  <c:v>0.10314028309333167</c:v>
                </c:pt>
                <c:pt idx="12">
                  <c:v>6.1889264000000388E-2</c:v>
                </c:pt>
                <c:pt idx="13">
                  <c:v>4.7867823999999004E-2</c:v>
                </c:pt>
                <c:pt idx="14">
                  <c:v>2.9785295999999743E-2</c:v>
                </c:pt>
              </c:numCache>
            </c:numRef>
          </c:yVal>
          <c:smooth val="0"/>
          <c:extLst>
            <c:ext xmlns:c16="http://schemas.microsoft.com/office/drawing/2014/chart" uri="{C3380CC4-5D6E-409C-BE32-E72D297353CC}">
              <c16:uniqueId val="{00000001-CD98-4E5C-90FC-3AE7FE0D42A6}"/>
            </c:ext>
          </c:extLst>
        </c:ser>
        <c:dLbls>
          <c:showLegendKey val="0"/>
          <c:showVal val="0"/>
          <c:showCatName val="0"/>
          <c:showSerName val="0"/>
          <c:showPercent val="0"/>
          <c:showBubbleSize val="0"/>
        </c:dLbls>
        <c:axId val="234526592"/>
        <c:axId val="234537344"/>
      </c:scatterChart>
      <c:valAx>
        <c:axId val="234526592"/>
        <c:scaling>
          <c:orientation val="minMax"/>
          <c:max val="90"/>
          <c:min val="0"/>
        </c:scaling>
        <c:delete val="0"/>
        <c:axPos val="b"/>
        <c:title>
          <c:tx>
            <c:rich>
              <a:bodyPr/>
              <a:lstStyle/>
              <a:p>
                <a:pPr>
                  <a:defRPr/>
                </a:pPr>
                <a:r>
                  <a:rPr lang="en-US"/>
                  <a:t>Time (h)</a:t>
                </a:r>
                <a:endParaRPr lang="zh-CN"/>
              </a:p>
            </c:rich>
          </c:tx>
          <c:layout>
            <c:manualLayout>
              <c:xMode val="edge"/>
              <c:yMode val="edge"/>
              <c:x val="0.53695580645806329"/>
              <c:y val="0.8957980521613802"/>
            </c:manualLayout>
          </c:layout>
          <c:overlay val="0"/>
        </c:title>
        <c:numFmt formatCode="General" sourceLinked="1"/>
        <c:majorTickMark val="out"/>
        <c:minorTickMark val="none"/>
        <c:tickLblPos val="nextTo"/>
        <c:crossAx val="234537344"/>
        <c:crosses val="autoZero"/>
        <c:crossBetween val="midCat"/>
      </c:valAx>
      <c:valAx>
        <c:axId val="234537344"/>
        <c:scaling>
          <c:orientation val="minMax"/>
          <c:max val="0.30000000000000004"/>
          <c:min val="-5.000000000000001E-2"/>
        </c:scaling>
        <c:delete val="0"/>
        <c:axPos val="l"/>
        <c:title>
          <c:tx>
            <c:rich>
              <a:bodyPr rot="-5400000" vert="horz"/>
              <a:lstStyle/>
              <a:p>
                <a:pPr>
                  <a:defRPr/>
                </a:pPr>
                <a:r>
                  <a:rPr lang="en-US"/>
                  <a:t>Rate of PHB production (gPHB/(l×h)</a:t>
                </a:r>
                <a:endParaRPr lang="zh-CN"/>
              </a:p>
            </c:rich>
          </c:tx>
          <c:overlay val="0"/>
        </c:title>
        <c:numFmt formatCode="General" sourceLinked="1"/>
        <c:majorTickMark val="out"/>
        <c:minorTickMark val="none"/>
        <c:tickLblPos val="nextTo"/>
        <c:crossAx val="234526592"/>
        <c:crosses val="autoZero"/>
        <c:crossBetween val="midCat"/>
      </c:valAx>
    </c:plotArea>
    <c:plotVisOnly val="1"/>
    <c:dispBlanksAs val="gap"/>
    <c:showDLblsOverMax val="0"/>
  </c:chart>
  <c:txPr>
    <a:bodyPr/>
    <a:lstStyle/>
    <a:p>
      <a:pPr>
        <a:defRPr b="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325823855351415"/>
          <c:y val="7.1563212767102091E-2"/>
          <c:w val="0.77435695538057747"/>
          <c:h val="0.72450236709772897"/>
        </c:manualLayout>
      </c:layout>
      <c:scatterChart>
        <c:scatterStyle val="smoothMarker"/>
        <c:varyColors val="0"/>
        <c:ser>
          <c:idx val="0"/>
          <c:order val="1"/>
          <c:tx>
            <c:v>Smoothed</c:v>
          </c:tx>
          <c:spPr>
            <a:ln w="28575">
              <a:solidFill>
                <a:srgbClr val="C00000"/>
              </a:solidFill>
            </a:ln>
          </c:spPr>
          <c:marker>
            <c:symbol val="none"/>
          </c:marker>
          <c:xVal>
            <c:numRef>
              <c:f>'60AS1B'!$B$4:$B$21</c:f>
              <c:numCache>
                <c:formatCode>0</c:formatCode>
                <c:ptCount val="18"/>
                <c:pt idx="0">
                  <c:v>0</c:v>
                </c:pt>
                <c:pt idx="1">
                  <c:v>6.09</c:v>
                </c:pt>
                <c:pt idx="2">
                  <c:v>17.59</c:v>
                </c:pt>
                <c:pt idx="3">
                  <c:v>24</c:v>
                </c:pt>
                <c:pt idx="4">
                  <c:v>27.09</c:v>
                </c:pt>
                <c:pt idx="5">
                  <c:v>33.090000000000003</c:v>
                </c:pt>
                <c:pt idx="6">
                  <c:v>39.5</c:v>
                </c:pt>
                <c:pt idx="7">
                  <c:v>43.09</c:v>
                </c:pt>
                <c:pt idx="8">
                  <c:v>45.5</c:v>
                </c:pt>
                <c:pt idx="9">
                  <c:v>51.5</c:v>
                </c:pt>
                <c:pt idx="10">
                  <c:v>56.09</c:v>
                </c:pt>
                <c:pt idx="11">
                  <c:v>62</c:v>
                </c:pt>
                <c:pt idx="12">
                  <c:v>65.09</c:v>
                </c:pt>
                <c:pt idx="13">
                  <c:v>69</c:v>
                </c:pt>
                <c:pt idx="14">
                  <c:v>75.09</c:v>
                </c:pt>
                <c:pt idx="15">
                  <c:v>77</c:v>
                </c:pt>
                <c:pt idx="16">
                  <c:v>88.09</c:v>
                </c:pt>
                <c:pt idx="17">
                  <c:v>109.09</c:v>
                </c:pt>
              </c:numCache>
            </c:numRef>
          </c:xVal>
          <c:yVal>
            <c:numRef>
              <c:f>'60AS1B'!$C$4:$C$21</c:f>
              <c:numCache>
                <c:formatCode>0.000</c:formatCode>
                <c:ptCount val="18"/>
                <c:pt idx="0">
                  <c:v>0.16900000000000001</c:v>
                </c:pt>
                <c:pt idx="1">
                  <c:v>0.20532817512310003</c:v>
                </c:pt>
                <c:pt idx="2">
                  <c:v>0.43263127872810003</c:v>
                </c:pt>
                <c:pt idx="3">
                  <c:v>0.77035360000000008</c:v>
                </c:pt>
                <c:pt idx="4">
                  <c:v>1.0141771062931</c:v>
                </c:pt>
                <c:pt idx="5">
                  <c:v>1.6752657869131005</c:v>
                </c:pt>
                <c:pt idx="6">
                  <c:v>2.7093427624999999</c:v>
                </c:pt>
                <c:pt idx="7">
                  <c:v>3.1028897060241087</c:v>
                </c:pt>
                <c:pt idx="8">
                  <c:v>3.3911604862499987</c:v>
                </c:pt>
                <c:pt idx="9">
                  <c:v>4.0434147412499994</c:v>
                </c:pt>
                <c:pt idx="10">
                  <c:v>4.4841544628051091</c:v>
                </c:pt>
                <c:pt idx="11">
                  <c:v>4.985069519999997</c:v>
                </c:pt>
                <c:pt idx="12">
                  <c:v>5.220002920438108</c:v>
                </c:pt>
                <c:pt idx="13">
                  <c:v>5.4934233099999963</c:v>
                </c:pt>
                <c:pt idx="14">
                  <c:v>5.8722532848081075</c:v>
                </c:pt>
                <c:pt idx="15">
                  <c:v>5.980645469999998</c:v>
                </c:pt>
                <c:pt idx="16">
                  <c:v>6.5325769791891082</c:v>
                </c:pt>
                <c:pt idx="17">
                  <c:v>7.3897156364661098</c:v>
                </c:pt>
              </c:numCache>
            </c:numRef>
          </c:yVal>
          <c:smooth val="1"/>
          <c:extLst>
            <c:ext xmlns:c16="http://schemas.microsoft.com/office/drawing/2014/chart" uri="{C3380CC4-5D6E-409C-BE32-E72D297353CC}">
              <c16:uniqueId val="{00000000-3805-4A0F-B6D8-41CDBAE6010F}"/>
            </c:ext>
          </c:extLst>
        </c:ser>
        <c:dLbls>
          <c:showLegendKey val="0"/>
          <c:showVal val="0"/>
          <c:showCatName val="0"/>
          <c:showSerName val="0"/>
          <c:showPercent val="0"/>
          <c:showBubbleSize val="0"/>
        </c:dLbls>
        <c:axId val="234373888"/>
        <c:axId val="234376192"/>
      </c:scatterChart>
      <c:scatterChart>
        <c:scatterStyle val="lineMarker"/>
        <c:varyColors val="0"/>
        <c:ser>
          <c:idx val="2"/>
          <c:order val="0"/>
          <c:tx>
            <c:v>Original</c:v>
          </c:tx>
          <c:spPr>
            <a:ln w="28575">
              <a:noFill/>
            </a:ln>
          </c:spPr>
          <c:marker>
            <c:symbol val="triangle"/>
            <c:size val="5"/>
            <c:spPr>
              <a:solidFill>
                <a:srgbClr val="0070C0"/>
              </a:solidFill>
              <a:ln>
                <a:solidFill>
                  <a:srgbClr val="0070C0"/>
                </a:solidFill>
              </a:ln>
            </c:spPr>
          </c:marker>
          <c:xVal>
            <c:numRef>
              <c:f>'60AS1B'!$AA$4:$AA$20</c:f>
              <c:numCache>
                <c:formatCode>General</c:formatCode>
                <c:ptCount val="17"/>
                <c:pt idx="0">
                  <c:v>0</c:v>
                </c:pt>
                <c:pt idx="1">
                  <c:v>6</c:v>
                </c:pt>
                <c:pt idx="2">
                  <c:v>17.600000000000001</c:v>
                </c:pt>
                <c:pt idx="3">
                  <c:v>24</c:v>
                </c:pt>
                <c:pt idx="4">
                  <c:v>27</c:v>
                </c:pt>
                <c:pt idx="5">
                  <c:v>33</c:v>
                </c:pt>
                <c:pt idx="6">
                  <c:v>39.5</c:v>
                </c:pt>
                <c:pt idx="7">
                  <c:v>43</c:v>
                </c:pt>
                <c:pt idx="8">
                  <c:v>45.5</c:v>
                </c:pt>
                <c:pt idx="9">
                  <c:v>51.5</c:v>
                </c:pt>
                <c:pt idx="10">
                  <c:v>56</c:v>
                </c:pt>
                <c:pt idx="11">
                  <c:v>62</c:v>
                </c:pt>
                <c:pt idx="12">
                  <c:v>65</c:v>
                </c:pt>
                <c:pt idx="13">
                  <c:v>69</c:v>
                </c:pt>
                <c:pt idx="14">
                  <c:v>75</c:v>
                </c:pt>
                <c:pt idx="15">
                  <c:v>88</c:v>
                </c:pt>
                <c:pt idx="16">
                  <c:v>109</c:v>
                </c:pt>
              </c:numCache>
            </c:numRef>
          </c:xVal>
          <c:yVal>
            <c:numRef>
              <c:f>'60AS1B'!$AB$4:$AB$20</c:f>
              <c:numCache>
                <c:formatCode>General</c:formatCode>
                <c:ptCount val="17"/>
                <c:pt idx="0">
                  <c:v>0.1637548265306123</c:v>
                </c:pt>
                <c:pt idx="1">
                  <c:v>0.23472296000000001</c:v>
                </c:pt>
                <c:pt idx="2">
                  <c:v>0.46465183999999998</c:v>
                </c:pt>
                <c:pt idx="3">
                  <c:v>0.74823583999999999</c:v>
                </c:pt>
                <c:pt idx="4">
                  <c:v>0.83528714000000015</c:v>
                </c:pt>
                <c:pt idx="5">
                  <c:v>1.9041065000000001</c:v>
                </c:pt>
                <c:pt idx="6">
                  <c:v>2.6359265000000001</c:v>
                </c:pt>
                <c:pt idx="7">
                  <c:v>2.8229578399999999</c:v>
                </c:pt>
                <c:pt idx="8">
                  <c:v>3.0391625000000002</c:v>
                </c:pt>
                <c:pt idx="9">
                  <c:v>4.007962</c:v>
                </c:pt>
                <c:pt idx="10">
                  <c:v>4.8281559999999999</c:v>
                </c:pt>
                <c:pt idx="11">
                  <c:v>5.3062960000000006</c:v>
                </c:pt>
                <c:pt idx="12">
                  <c:v>5.4460600000000001</c:v>
                </c:pt>
                <c:pt idx="13">
                  <c:v>5.1371079999999996</c:v>
                </c:pt>
                <c:pt idx="14">
                  <c:v>6.2184399999999993</c:v>
                </c:pt>
                <c:pt idx="15">
                  <c:v>6.1816599999999999</c:v>
                </c:pt>
                <c:pt idx="16">
                  <c:v>7.5057400000000003</c:v>
                </c:pt>
              </c:numCache>
            </c:numRef>
          </c:yVal>
          <c:smooth val="0"/>
          <c:extLst>
            <c:ext xmlns:c16="http://schemas.microsoft.com/office/drawing/2014/chart" uri="{C3380CC4-5D6E-409C-BE32-E72D297353CC}">
              <c16:uniqueId val="{00000001-3805-4A0F-B6D8-41CDBAE6010F}"/>
            </c:ext>
          </c:extLst>
        </c:ser>
        <c:dLbls>
          <c:showLegendKey val="0"/>
          <c:showVal val="0"/>
          <c:showCatName val="0"/>
          <c:showSerName val="0"/>
          <c:showPercent val="0"/>
          <c:showBubbleSize val="0"/>
        </c:dLbls>
        <c:axId val="234373888"/>
        <c:axId val="234376192"/>
      </c:scatterChart>
      <c:valAx>
        <c:axId val="234373888"/>
        <c:scaling>
          <c:orientation val="minMax"/>
          <c:max val="90"/>
          <c:min val="0"/>
        </c:scaling>
        <c:delete val="0"/>
        <c:axPos val="b"/>
        <c:title>
          <c:tx>
            <c:rich>
              <a:bodyPr/>
              <a:lstStyle/>
              <a:p>
                <a:pPr>
                  <a:defRPr b="0"/>
                </a:pPr>
                <a:r>
                  <a:rPr lang="en-US" b="0"/>
                  <a:t>Time (h)</a:t>
                </a:r>
                <a:endParaRPr lang="zh-CN" b="0"/>
              </a:p>
            </c:rich>
          </c:tx>
          <c:layout>
            <c:manualLayout>
              <c:xMode val="edge"/>
              <c:yMode val="edge"/>
              <c:x val="0.46425597841936422"/>
              <c:y val="0.8952103881751623"/>
            </c:manualLayout>
          </c:layout>
          <c:overlay val="0"/>
        </c:title>
        <c:numFmt formatCode="0" sourceLinked="1"/>
        <c:majorTickMark val="out"/>
        <c:minorTickMark val="none"/>
        <c:tickLblPos val="nextTo"/>
        <c:crossAx val="234376192"/>
        <c:crosses val="autoZero"/>
        <c:crossBetween val="midCat"/>
        <c:majorUnit val="20"/>
      </c:valAx>
      <c:valAx>
        <c:axId val="234376192"/>
        <c:scaling>
          <c:orientation val="minMax"/>
        </c:scaling>
        <c:delete val="0"/>
        <c:axPos val="l"/>
        <c:title>
          <c:tx>
            <c:rich>
              <a:bodyPr rot="-5400000" vert="horz"/>
              <a:lstStyle/>
              <a:p>
                <a:pPr>
                  <a:defRPr b="0"/>
                </a:pPr>
                <a:r>
                  <a:rPr lang="en-US" b="0"/>
                  <a:t>TDW (g/l)</a:t>
                </a:r>
                <a:endParaRPr lang="zh-CN" b="0"/>
              </a:p>
            </c:rich>
          </c:tx>
          <c:overlay val="0"/>
        </c:title>
        <c:numFmt formatCode="0" sourceLinked="0"/>
        <c:majorTickMark val="out"/>
        <c:minorTickMark val="none"/>
        <c:tickLblPos val="nextTo"/>
        <c:crossAx val="234373888"/>
        <c:crosses val="autoZero"/>
        <c:crossBetween val="midCat"/>
      </c:valAx>
    </c:plotArea>
    <c:legend>
      <c:legendPos val="r"/>
      <c:layout>
        <c:manualLayout>
          <c:xMode val="edge"/>
          <c:yMode val="edge"/>
          <c:x val="0.19658792650918636"/>
          <c:y val="1.846111341345491E-3"/>
          <c:w val="0.64448308544765243"/>
          <c:h val="0.13027726645318327"/>
        </c:manualLayout>
      </c:layout>
      <c:overlay val="0"/>
      <c:txPr>
        <a:bodyPr/>
        <a:lstStyle/>
        <a:p>
          <a:pPr>
            <a:defRPr sz="1000"/>
          </a:pPr>
          <a:endParaRPr lang="zh-CN"/>
        </a:p>
      </c:txPr>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904747876711987"/>
          <c:y val="5.1400554097404488E-2"/>
          <c:w val="0.71388213442248061"/>
          <c:h val="0.82727981918926796"/>
        </c:manualLayout>
      </c:layout>
      <c:scatterChart>
        <c:scatterStyle val="lineMarker"/>
        <c:varyColors val="0"/>
        <c:ser>
          <c:idx val="0"/>
          <c:order val="0"/>
          <c:tx>
            <c:v>Original</c:v>
          </c:tx>
          <c:spPr>
            <a:ln w="28575">
              <a:solidFill>
                <a:srgbClr val="0070C0"/>
              </a:solidFill>
            </a:ln>
          </c:spPr>
          <c:marker>
            <c:symbol val="triangle"/>
            <c:size val="5"/>
            <c:spPr>
              <a:solidFill>
                <a:srgbClr val="0070C0"/>
              </a:solidFill>
              <a:ln w="28575">
                <a:solidFill>
                  <a:srgbClr val="0070C0"/>
                </a:solidFill>
              </a:ln>
            </c:spPr>
          </c:marker>
          <c:xVal>
            <c:numRef>
              <c:f>'60AS1B'!$AA$5:$AA$19</c:f>
              <c:numCache>
                <c:formatCode>General</c:formatCode>
                <c:ptCount val="15"/>
                <c:pt idx="0">
                  <c:v>6</c:v>
                </c:pt>
                <c:pt idx="1">
                  <c:v>17.600000000000001</c:v>
                </c:pt>
                <c:pt idx="2">
                  <c:v>24</c:v>
                </c:pt>
                <c:pt idx="3">
                  <c:v>27</c:v>
                </c:pt>
                <c:pt idx="4">
                  <c:v>33</c:v>
                </c:pt>
                <c:pt idx="5">
                  <c:v>39.5</c:v>
                </c:pt>
                <c:pt idx="6">
                  <c:v>43</c:v>
                </c:pt>
                <c:pt idx="7">
                  <c:v>45.5</c:v>
                </c:pt>
                <c:pt idx="8">
                  <c:v>51.5</c:v>
                </c:pt>
                <c:pt idx="9">
                  <c:v>56</c:v>
                </c:pt>
                <c:pt idx="10">
                  <c:v>62</c:v>
                </c:pt>
                <c:pt idx="11">
                  <c:v>65</c:v>
                </c:pt>
                <c:pt idx="12">
                  <c:v>69</c:v>
                </c:pt>
                <c:pt idx="13">
                  <c:v>75</c:v>
                </c:pt>
                <c:pt idx="14">
                  <c:v>88</c:v>
                </c:pt>
              </c:numCache>
            </c:numRef>
          </c:xVal>
          <c:yVal>
            <c:numRef>
              <c:f>'60AS1B'!$Y$5:$Y$19</c:f>
              <c:numCache>
                <c:formatCode>General</c:formatCode>
                <c:ptCount val="15"/>
                <c:pt idx="0">
                  <c:v>1.7096421219851572E-2</c:v>
                </c:pt>
                <c:pt idx="1">
                  <c:v>2.8528493333333332E-2</c:v>
                </c:pt>
                <c:pt idx="2">
                  <c:v>3.9429287234042577E-2</c:v>
                </c:pt>
                <c:pt idx="3">
                  <c:v>0.12843007333333334</c:v>
                </c:pt>
                <c:pt idx="4">
                  <c:v>0.1440511488</c:v>
                </c:pt>
                <c:pt idx="5">
                  <c:v>9.1885133999999979E-2</c:v>
                </c:pt>
                <c:pt idx="6">
                  <c:v>6.720600000000003E-2</c:v>
                </c:pt>
                <c:pt idx="7">
                  <c:v>0.13941225411764707</c:v>
                </c:pt>
                <c:pt idx="8">
                  <c:v>0.1703803333333333</c:v>
                </c:pt>
                <c:pt idx="9">
                  <c:v>0.1236508571428572</c:v>
                </c:pt>
                <c:pt idx="10">
                  <c:v>6.8656000000000023E-2</c:v>
                </c:pt>
                <c:pt idx="11">
                  <c:v>-2.416971428571443E-2</c:v>
                </c:pt>
                <c:pt idx="12">
                  <c:v>7.7237999999999918E-2</c:v>
                </c:pt>
                <c:pt idx="13">
                  <c:v>5.4976421052631598E-2</c:v>
                </c:pt>
                <c:pt idx="14">
                  <c:v>3.7861764705882379E-2</c:v>
                </c:pt>
              </c:numCache>
            </c:numRef>
          </c:yVal>
          <c:smooth val="0"/>
          <c:extLst>
            <c:ext xmlns:c16="http://schemas.microsoft.com/office/drawing/2014/chart" uri="{C3380CC4-5D6E-409C-BE32-E72D297353CC}">
              <c16:uniqueId val="{00000000-0854-4C67-8627-1008ABF89DC6}"/>
            </c:ext>
          </c:extLst>
        </c:ser>
        <c:ser>
          <c:idx val="1"/>
          <c:order val="1"/>
          <c:tx>
            <c:v>Smoothed</c:v>
          </c:tx>
          <c:spPr>
            <a:ln w="28575">
              <a:solidFill>
                <a:srgbClr val="C00000"/>
              </a:solidFill>
            </a:ln>
          </c:spPr>
          <c:marker>
            <c:symbol val="circle"/>
            <c:size val="4"/>
            <c:spPr>
              <a:solidFill>
                <a:srgbClr val="C00000"/>
              </a:solidFill>
              <a:ln>
                <a:solidFill>
                  <a:srgbClr val="C00000"/>
                </a:solidFill>
              </a:ln>
            </c:spPr>
          </c:marker>
          <c:xVal>
            <c:numRef>
              <c:f>'60AS1B'!$AA$5:$AA$19</c:f>
              <c:numCache>
                <c:formatCode>General</c:formatCode>
                <c:ptCount val="15"/>
                <c:pt idx="0">
                  <c:v>6</c:v>
                </c:pt>
                <c:pt idx="1">
                  <c:v>17.600000000000001</c:v>
                </c:pt>
                <c:pt idx="2">
                  <c:v>24</c:v>
                </c:pt>
                <c:pt idx="3">
                  <c:v>27</c:v>
                </c:pt>
                <c:pt idx="4">
                  <c:v>33</c:v>
                </c:pt>
                <c:pt idx="5">
                  <c:v>39.5</c:v>
                </c:pt>
                <c:pt idx="6">
                  <c:v>43</c:v>
                </c:pt>
                <c:pt idx="7">
                  <c:v>45.5</c:v>
                </c:pt>
                <c:pt idx="8">
                  <c:v>51.5</c:v>
                </c:pt>
                <c:pt idx="9">
                  <c:v>56</c:v>
                </c:pt>
                <c:pt idx="10">
                  <c:v>62</c:v>
                </c:pt>
                <c:pt idx="11">
                  <c:v>65</c:v>
                </c:pt>
                <c:pt idx="12">
                  <c:v>69</c:v>
                </c:pt>
                <c:pt idx="13">
                  <c:v>75</c:v>
                </c:pt>
                <c:pt idx="14">
                  <c:v>88</c:v>
                </c:pt>
              </c:numCache>
            </c:numRef>
          </c:xVal>
          <c:yVal>
            <c:numRef>
              <c:f>'60AS1B'!$Z$5:$Z$19</c:f>
              <c:numCache>
                <c:formatCode>General</c:formatCode>
                <c:ptCount val="15"/>
                <c:pt idx="0">
                  <c:v>1.498756559E-2</c:v>
                </c:pt>
                <c:pt idx="1">
                  <c:v>3.1548041589999999E-2</c:v>
                </c:pt>
                <c:pt idx="2">
                  <c:v>6.1215350269999996E-2</c:v>
                </c:pt>
                <c:pt idx="3">
                  <c:v>9.9550295590000004E-2</c:v>
                </c:pt>
                <c:pt idx="4">
                  <c:v>0.13659674909</c:v>
                </c:pt>
                <c:pt idx="5">
                  <c:v>0.14276239191110082</c:v>
                </c:pt>
                <c:pt idx="6">
                  <c:v>0.11363628729166646</c:v>
                </c:pt>
                <c:pt idx="7">
                  <c:v>0.11183413022900013</c:v>
                </c:pt>
                <c:pt idx="8">
                  <c:v>0.10321000722900001</c:v>
                </c:pt>
                <c:pt idx="9">
                  <c:v>8.9681407499999768E-2</c:v>
                </c:pt>
                <c:pt idx="10">
                  <c:v>8.1760939736999882E-2</c:v>
                </c:pt>
                <c:pt idx="11">
                  <c:v>7.2621969999999897E-2</c:v>
                </c:pt>
                <c:pt idx="12">
                  <c:v>6.522503643699995E-2</c:v>
                </c:pt>
                <c:pt idx="13">
                  <c:v>6.0902770000000217E-2</c:v>
                </c:pt>
                <c:pt idx="14">
                  <c:v>5.0794130337000053E-2</c:v>
                </c:pt>
              </c:numCache>
            </c:numRef>
          </c:yVal>
          <c:smooth val="0"/>
          <c:extLst>
            <c:ext xmlns:c16="http://schemas.microsoft.com/office/drawing/2014/chart" uri="{C3380CC4-5D6E-409C-BE32-E72D297353CC}">
              <c16:uniqueId val="{00000001-0854-4C67-8627-1008ABF89DC6}"/>
            </c:ext>
          </c:extLst>
        </c:ser>
        <c:dLbls>
          <c:showLegendKey val="0"/>
          <c:showVal val="0"/>
          <c:showCatName val="0"/>
          <c:showSerName val="0"/>
          <c:showPercent val="0"/>
          <c:showBubbleSize val="0"/>
        </c:dLbls>
        <c:axId val="234392960"/>
        <c:axId val="234403712"/>
      </c:scatterChart>
      <c:valAx>
        <c:axId val="234392960"/>
        <c:scaling>
          <c:orientation val="minMax"/>
          <c:max val="90"/>
          <c:min val="0"/>
        </c:scaling>
        <c:delete val="0"/>
        <c:axPos val="b"/>
        <c:title>
          <c:tx>
            <c:rich>
              <a:bodyPr/>
              <a:lstStyle/>
              <a:p>
                <a:pPr>
                  <a:defRPr/>
                </a:pPr>
                <a:r>
                  <a:rPr lang="en-US"/>
                  <a:t>Time (h)</a:t>
                </a:r>
                <a:endParaRPr lang="zh-CN"/>
              </a:p>
            </c:rich>
          </c:tx>
          <c:layout>
            <c:manualLayout>
              <c:xMode val="edge"/>
              <c:yMode val="edge"/>
              <c:x val="0.53662087404989611"/>
              <c:y val="0.8898831330294239"/>
            </c:manualLayout>
          </c:layout>
          <c:overlay val="0"/>
        </c:title>
        <c:numFmt formatCode="General" sourceLinked="1"/>
        <c:majorTickMark val="out"/>
        <c:minorTickMark val="none"/>
        <c:tickLblPos val="nextTo"/>
        <c:crossAx val="234403712"/>
        <c:crosses val="autoZero"/>
        <c:crossBetween val="midCat"/>
        <c:majorUnit val="20"/>
      </c:valAx>
      <c:valAx>
        <c:axId val="234403712"/>
        <c:scaling>
          <c:orientation val="minMax"/>
        </c:scaling>
        <c:delete val="0"/>
        <c:axPos val="l"/>
        <c:title>
          <c:tx>
            <c:rich>
              <a:bodyPr rot="-5400000" vert="horz"/>
              <a:lstStyle/>
              <a:p>
                <a:pPr>
                  <a:defRPr/>
                </a:pPr>
                <a:r>
                  <a:rPr lang="en-US"/>
                  <a:t>Rate of TDW production (gTDW/(l×h)</a:t>
                </a:r>
                <a:endParaRPr lang="zh-CN"/>
              </a:p>
            </c:rich>
          </c:tx>
          <c:overlay val="0"/>
        </c:title>
        <c:numFmt formatCode="General" sourceLinked="1"/>
        <c:majorTickMark val="out"/>
        <c:minorTickMark val="none"/>
        <c:tickLblPos val="nextTo"/>
        <c:crossAx val="234392960"/>
        <c:crosses val="autoZero"/>
        <c:crossBetween val="midCat"/>
      </c:valAx>
    </c:plotArea>
    <c:legend>
      <c:legendPos val="r"/>
      <c:layout>
        <c:manualLayout>
          <c:xMode val="edge"/>
          <c:yMode val="edge"/>
          <c:x val="0.28291795890543642"/>
          <c:y val="5.0493162038955644E-3"/>
          <c:w val="0.62443414105490547"/>
          <c:h val="0.14619664898215348"/>
        </c:manualLayout>
      </c:layout>
      <c:overlay val="0"/>
      <c:txPr>
        <a:bodyPr/>
        <a:lstStyle/>
        <a:p>
          <a:pPr>
            <a:defRPr sz="1000"/>
          </a:pPr>
          <a:endParaRPr lang="zh-CN"/>
        </a:p>
      </c:txPr>
    </c:legend>
    <c:plotVisOnly val="1"/>
    <c:dispBlanksAs val="gap"/>
    <c:showDLblsOverMax val="0"/>
  </c:chart>
  <c:txPr>
    <a:bodyPr/>
    <a:lstStyle/>
    <a:p>
      <a:pPr>
        <a:defRPr b="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74398512685915"/>
          <c:y val="0.11543911949277945"/>
          <c:w val="0.85976305045202683"/>
          <c:h val="0.7276195028339677"/>
        </c:manualLayout>
      </c:layout>
      <c:scatterChart>
        <c:scatterStyle val="lineMarker"/>
        <c:varyColors val="0"/>
        <c:ser>
          <c:idx val="5"/>
          <c:order val="0"/>
          <c:tx>
            <c:v>0.6</c:v>
          </c:tx>
          <c:spPr>
            <a:ln w="28575">
              <a:noFill/>
            </a:ln>
          </c:spPr>
          <c:marker>
            <c:symbol val="circle"/>
            <c:size val="4"/>
            <c:spPr>
              <a:solidFill>
                <a:srgbClr val="002060"/>
              </a:solidFill>
            </c:spPr>
          </c:marker>
          <c:xVal>
            <c:numRef>
              <c:f>(Nitrogen!$B$3:$B$16,Nitrogen!$D$3:$D$17,Nitrogen!$F$3:$F$19,Nitrogen!$H$3:$H$13,Nitrogen!$J$3:$J$11,Nitrogen!$L$3:$L$13)</c:f>
              <c:numCache>
                <c:formatCode>General</c:formatCode>
                <c:ptCount val="77"/>
                <c:pt idx="0">
                  <c:v>8.5</c:v>
                </c:pt>
                <c:pt idx="1">
                  <c:v>14</c:v>
                </c:pt>
                <c:pt idx="2">
                  <c:v>20</c:v>
                </c:pt>
                <c:pt idx="3">
                  <c:v>24</c:v>
                </c:pt>
                <c:pt idx="4">
                  <c:v>32</c:v>
                </c:pt>
                <c:pt idx="5">
                  <c:v>36.5</c:v>
                </c:pt>
                <c:pt idx="6">
                  <c:v>40.5</c:v>
                </c:pt>
                <c:pt idx="7">
                  <c:v>44</c:v>
                </c:pt>
                <c:pt idx="8">
                  <c:v>48</c:v>
                </c:pt>
                <c:pt idx="9">
                  <c:v>57</c:v>
                </c:pt>
                <c:pt idx="10">
                  <c:v>62.333333333333336</c:v>
                </c:pt>
                <c:pt idx="11">
                  <c:v>68</c:v>
                </c:pt>
                <c:pt idx="12">
                  <c:v>72</c:v>
                </c:pt>
                <c:pt idx="13">
                  <c:v>92.5</c:v>
                </c:pt>
                <c:pt idx="14">
                  <c:v>6</c:v>
                </c:pt>
                <c:pt idx="15">
                  <c:v>14</c:v>
                </c:pt>
                <c:pt idx="16">
                  <c:v>18</c:v>
                </c:pt>
                <c:pt idx="17">
                  <c:v>22</c:v>
                </c:pt>
                <c:pt idx="18">
                  <c:v>28</c:v>
                </c:pt>
                <c:pt idx="19">
                  <c:v>32</c:v>
                </c:pt>
                <c:pt idx="20">
                  <c:v>37.5</c:v>
                </c:pt>
                <c:pt idx="21">
                  <c:v>42</c:v>
                </c:pt>
                <c:pt idx="22">
                  <c:v>46</c:v>
                </c:pt>
                <c:pt idx="23">
                  <c:v>52</c:v>
                </c:pt>
                <c:pt idx="24">
                  <c:v>57</c:v>
                </c:pt>
                <c:pt idx="25">
                  <c:v>62</c:v>
                </c:pt>
                <c:pt idx="26">
                  <c:v>68</c:v>
                </c:pt>
                <c:pt idx="27">
                  <c:v>80</c:v>
                </c:pt>
                <c:pt idx="28">
                  <c:v>104</c:v>
                </c:pt>
                <c:pt idx="29">
                  <c:v>6.09</c:v>
                </c:pt>
                <c:pt idx="30">
                  <c:v>17.59</c:v>
                </c:pt>
                <c:pt idx="31">
                  <c:v>24</c:v>
                </c:pt>
                <c:pt idx="32">
                  <c:v>27.09</c:v>
                </c:pt>
                <c:pt idx="33">
                  <c:v>33.090000000000003</c:v>
                </c:pt>
                <c:pt idx="34">
                  <c:v>39.5</c:v>
                </c:pt>
                <c:pt idx="35">
                  <c:v>43.09</c:v>
                </c:pt>
                <c:pt idx="36">
                  <c:v>45.5</c:v>
                </c:pt>
                <c:pt idx="37">
                  <c:v>51.5</c:v>
                </c:pt>
                <c:pt idx="38">
                  <c:v>56.09</c:v>
                </c:pt>
                <c:pt idx="39">
                  <c:v>62</c:v>
                </c:pt>
                <c:pt idx="40">
                  <c:v>65.09</c:v>
                </c:pt>
                <c:pt idx="41">
                  <c:v>69</c:v>
                </c:pt>
                <c:pt idx="42">
                  <c:v>75.09</c:v>
                </c:pt>
                <c:pt idx="43">
                  <c:v>77</c:v>
                </c:pt>
                <c:pt idx="44">
                  <c:v>88.09</c:v>
                </c:pt>
                <c:pt idx="45">
                  <c:v>109.09</c:v>
                </c:pt>
                <c:pt idx="46">
                  <c:v>8</c:v>
                </c:pt>
                <c:pt idx="47">
                  <c:v>16</c:v>
                </c:pt>
                <c:pt idx="48">
                  <c:v>24</c:v>
                </c:pt>
                <c:pt idx="49">
                  <c:v>36.5</c:v>
                </c:pt>
                <c:pt idx="50">
                  <c:v>43.5</c:v>
                </c:pt>
                <c:pt idx="51">
                  <c:v>48.5</c:v>
                </c:pt>
                <c:pt idx="52">
                  <c:v>57.5</c:v>
                </c:pt>
                <c:pt idx="53">
                  <c:v>65</c:v>
                </c:pt>
                <c:pt idx="54">
                  <c:v>71</c:v>
                </c:pt>
                <c:pt idx="55">
                  <c:v>95</c:v>
                </c:pt>
                <c:pt idx="56">
                  <c:v>119</c:v>
                </c:pt>
                <c:pt idx="57">
                  <c:v>6</c:v>
                </c:pt>
                <c:pt idx="58">
                  <c:v>12</c:v>
                </c:pt>
                <c:pt idx="59">
                  <c:v>23</c:v>
                </c:pt>
                <c:pt idx="60">
                  <c:v>29</c:v>
                </c:pt>
                <c:pt idx="61">
                  <c:v>36</c:v>
                </c:pt>
                <c:pt idx="62">
                  <c:v>50</c:v>
                </c:pt>
                <c:pt idx="63">
                  <c:v>55</c:v>
                </c:pt>
                <c:pt idx="64">
                  <c:v>78</c:v>
                </c:pt>
                <c:pt idx="65">
                  <c:v>90</c:v>
                </c:pt>
                <c:pt idx="66">
                  <c:v>10</c:v>
                </c:pt>
                <c:pt idx="67">
                  <c:v>15</c:v>
                </c:pt>
                <c:pt idx="68">
                  <c:v>19</c:v>
                </c:pt>
                <c:pt idx="69">
                  <c:v>24</c:v>
                </c:pt>
                <c:pt idx="70">
                  <c:v>33</c:v>
                </c:pt>
                <c:pt idx="71">
                  <c:v>38</c:v>
                </c:pt>
                <c:pt idx="72">
                  <c:v>42</c:v>
                </c:pt>
                <c:pt idx="73">
                  <c:v>48</c:v>
                </c:pt>
                <c:pt idx="74">
                  <c:v>61</c:v>
                </c:pt>
                <c:pt idx="75">
                  <c:v>75</c:v>
                </c:pt>
                <c:pt idx="76">
                  <c:v>90</c:v>
                </c:pt>
              </c:numCache>
            </c:numRef>
          </c:xVal>
          <c:yVal>
            <c:numRef>
              <c:f>(Nitrogen!$C$3:$C$16,Nitrogen!$E$3:$E$17,Nitrogen!$G$3:$G$19,Nitrogen!$I$3:$I$13,Nitrogen!$K$3:$K$11,Nitrogen!$M$3:$M$13)</c:f>
              <c:numCache>
                <c:formatCode>General</c:formatCode>
                <c:ptCount val="77"/>
                <c:pt idx="0">
                  <c:v>0.605730640970224</c:v>
                </c:pt>
                <c:pt idx="1">
                  <c:v>0.21567737652227245</c:v>
                </c:pt>
                <c:pt idx="2">
                  <c:v>0.1411703956152581</c:v>
                </c:pt>
                <c:pt idx="3">
                  <c:v>0.14136912648578068</c:v>
                </c:pt>
                <c:pt idx="4">
                  <c:v>0.14159601891047138</c:v>
                </c:pt>
                <c:pt idx="5">
                  <c:v>0.14162321151509624</c:v>
                </c:pt>
                <c:pt idx="6">
                  <c:v>0.14158637685741618</c:v>
                </c:pt>
                <c:pt idx="7">
                  <c:v>0.1415068776087289</c:v>
                </c:pt>
                <c:pt idx="8">
                  <c:v>0.14136181392698649</c:v>
                </c:pt>
                <c:pt idx="9">
                  <c:v>0.14082296589336007</c:v>
                </c:pt>
                <c:pt idx="10">
                  <c:v>0.14036407243166285</c:v>
                </c:pt>
                <c:pt idx="11">
                  <c:v>0.13976200204442968</c:v>
                </c:pt>
                <c:pt idx="12">
                  <c:v>0.13926566599685625</c:v>
                </c:pt>
                <c:pt idx="13">
                  <c:v>0.13955616997056086</c:v>
                </c:pt>
                <c:pt idx="14">
                  <c:v>8.545575848856661E-2</c:v>
                </c:pt>
                <c:pt idx="15">
                  <c:v>0.21510580929468298</c:v>
                </c:pt>
                <c:pt idx="16">
                  <c:v>0.16874960577069642</c:v>
                </c:pt>
                <c:pt idx="17">
                  <c:v>0.134929956682247</c:v>
                </c:pt>
                <c:pt idx="18">
                  <c:v>0.14085139152307835</c:v>
                </c:pt>
                <c:pt idx="19">
                  <c:v>0.13798264062112192</c:v>
                </c:pt>
                <c:pt idx="20">
                  <c:v>0.13271129463957201</c:v>
                </c:pt>
                <c:pt idx="21">
                  <c:v>0.13272941625388199</c:v>
                </c:pt>
                <c:pt idx="22">
                  <c:v>0.13487898666994785</c:v>
                </c:pt>
                <c:pt idx="23">
                  <c:v>0.13262604724838817</c:v>
                </c:pt>
                <c:pt idx="24">
                  <c:v>0.13623586591409736</c:v>
                </c:pt>
                <c:pt idx="25">
                  <c:v>0.14323162761404251</c:v>
                </c:pt>
                <c:pt idx="26">
                  <c:v>0.14714900338695716</c:v>
                </c:pt>
                <c:pt idx="27">
                  <c:v>0.1430159849201961</c:v>
                </c:pt>
                <c:pt idx="28">
                  <c:v>0.13779911878324985</c:v>
                </c:pt>
                <c:pt idx="29">
                  <c:v>0.28370888844019715</c:v>
                </c:pt>
                <c:pt idx="30">
                  <c:v>0.26176834712196306</c:v>
                </c:pt>
                <c:pt idx="31">
                  <c:v>0.20724404239729094</c:v>
                </c:pt>
                <c:pt idx="32">
                  <c:v>0.17430868214307588</c:v>
                </c:pt>
                <c:pt idx="33">
                  <c:v>0.15339960912500508</c:v>
                </c:pt>
                <c:pt idx="34">
                  <c:v>0.12849415388476432</c:v>
                </c:pt>
                <c:pt idx="35">
                  <c:v>0.12963191761839316</c:v>
                </c:pt>
                <c:pt idx="36">
                  <c:v>0.12964012017612156</c:v>
                </c:pt>
                <c:pt idx="37">
                  <c:v>0.12715788436493705</c:v>
                </c:pt>
                <c:pt idx="38">
                  <c:v>0.12590935883068347</c:v>
                </c:pt>
                <c:pt idx="39">
                  <c:v>0.12096706632435338</c:v>
                </c:pt>
                <c:pt idx="40">
                  <c:v>0.12103773700008712</c:v>
                </c:pt>
                <c:pt idx="41">
                  <c:v>0.1218878845553175</c:v>
                </c:pt>
                <c:pt idx="42">
                  <c:v>0.12399026117375883</c:v>
                </c:pt>
                <c:pt idx="43">
                  <c:v>0.12462310686597509</c:v>
                </c:pt>
                <c:pt idx="44">
                  <c:v>0.13438586511503764</c:v>
                </c:pt>
                <c:pt idx="45">
                  <c:v>0.129091848185445</c:v>
                </c:pt>
                <c:pt idx="46">
                  <c:v>0.32857728756392746</c:v>
                </c:pt>
                <c:pt idx="47">
                  <c:v>0.2099090159598298</c:v>
                </c:pt>
                <c:pt idx="48">
                  <c:v>0.15698655824472826</c:v>
                </c:pt>
                <c:pt idx="49">
                  <c:v>0.16107131524321644</c:v>
                </c:pt>
                <c:pt idx="50">
                  <c:v>0.15464701182635909</c:v>
                </c:pt>
                <c:pt idx="51">
                  <c:v>0.14942075313384445</c:v>
                </c:pt>
                <c:pt idx="52">
                  <c:v>0.14543118935647137</c:v>
                </c:pt>
                <c:pt idx="53">
                  <c:v>0.147370303191001</c:v>
                </c:pt>
                <c:pt idx="54">
                  <c:v>0.14461088169282077</c:v>
                </c:pt>
                <c:pt idx="55">
                  <c:v>0.14077306326940048</c:v>
                </c:pt>
                <c:pt idx="56">
                  <c:v>0.13367682474848808</c:v>
                </c:pt>
                <c:pt idx="57">
                  <c:v>0.23218478564167663</c:v>
                </c:pt>
                <c:pt idx="58">
                  <c:v>0.21032229948497827</c:v>
                </c:pt>
                <c:pt idx="59">
                  <c:v>0.14166678527473811</c:v>
                </c:pt>
                <c:pt idx="60">
                  <c:v>0.13434279260820794</c:v>
                </c:pt>
                <c:pt idx="61">
                  <c:v>0.13211630697177643</c:v>
                </c:pt>
                <c:pt idx="62">
                  <c:v>0.13015585931669593</c:v>
                </c:pt>
                <c:pt idx="63">
                  <c:v>0.12980586927562518</c:v>
                </c:pt>
                <c:pt idx="64">
                  <c:v>0.13314165786078916</c:v>
                </c:pt>
                <c:pt idx="65">
                  <c:v>0.1341727232057425</c:v>
                </c:pt>
                <c:pt idx="66">
                  <c:v>0.21586083048034035</c:v>
                </c:pt>
                <c:pt idx="67">
                  <c:v>0.17138292937694261</c:v>
                </c:pt>
                <c:pt idx="68">
                  <c:v>0.15261587251385719</c:v>
                </c:pt>
                <c:pt idx="69">
                  <c:v>0.14103719300521747</c:v>
                </c:pt>
                <c:pt idx="70">
                  <c:v>0.13612002699166587</c:v>
                </c:pt>
                <c:pt idx="71">
                  <c:v>0.13647201697825082</c:v>
                </c:pt>
                <c:pt idx="72">
                  <c:v>0.13614930303986039</c:v>
                </c:pt>
                <c:pt idx="73">
                  <c:v>0.13538604784086974</c:v>
                </c:pt>
                <c:pt idx="74">
                  <c:v>0.13412661391988295</c:v>
                </c:pt>
                <c:pt idx="75">
                  <c:v>0.13325663672484003</c:v>
                </c:pt>
                <c:pt idx="76">
                  <c:v>0.13269026734516323</c:v>
                </c:pt>
              </c:numCache>
            </c:numRef>
          </c:yVal>
          <c:smooth val="0"/>
          <c:extLst>
            <c:ext xmlns:c16="http://schemas.microsoft.com/office/drawing/2014/chart" uri="{C3380CC4-5D6E-409C-BE32-E72D297353CC}">
              <c16:uniqueId val="{00000000-3C6E-4F22-AD1E-6E5542CCCDC5}"/>
            </c:ext>
          </c:extLst>
        </c:ser>
        <c:ser>
          <c:idx val="0"/>
          <c:order val="1"/>
          <c:marker>
            <c:symbol val="none"/>
          </c:marker>
          <c:xVal>
            <c:numRef>
              <c:f>Nitrogen!$I$21:$I$22</c:f>
              <c:numCache>
                <c:formatCode>General</c:formatCode>
                <c:ptCount val="2"/>
              </c:numCache>
            </c:numRef>
          </c:xVal>
          <c:yVal>
            <c:numRef>
              <c:f>Nitrogen!$J$21:$J$22</c:f>
              <c:numCache>
                <c:formatCode>General</c:formatCode>
                <c:ptCount val="2"/>
              </c:numCache>
            </c:numRef>
          </c:yVal>
          <c:smooth val="0"/>
          <c:extLst>
            <c:ext xmlns:c16="http://schemas.microsoft.com/office/drawing/2014/chart" uri="{C3380CC4-5D6E-409C-BE32-E72D297353CC}">
              <c16:uniqueId val="{00000001-3C6E-4F22-AD1E-6E5542CCCDC5}"/>
            </c:ext>
          </c:extLst>
        </c:ser>
        <c:dLbls>
          <c:showLegendKey val="0"/>
          <c:showVal val="0"/>
          <c:showCatName val="0"/>
          <c:showSerName val="0"/>
          <c:showPercent val="0"/>
          <c:showBubbleSize val="0"/>
        </c:dLbls>
        <c:axId val="234576512"/>
        <c:axId val="234578688"/>
      </c:scatterChart>
      <c:valAx>
        <c:axId val="234576512"/>
        <c:scaling>
          <c:orientation val="minMax"/>
          <c:max val="100"/>
          <c:min val="0"/>
        </c:scaling>
        <c:delete val="0"/>
        <c:axPos val="b"/>
        <c:title>
          <c:tx>
            <c:rich>
              <a:bodyPr/>
              <a:lstStyle/>
              <a:p>
                <a:pPr>
                  <a:defRPr b="1"/>
                </a:pPr>
                <a:r>
                  <a:rPr lang="en-US" b="1"/>
                  <a:t>Fermentation Time</a:t>
                </a:r>
                <a:endParaRPr lang="zh-CN" b="1"/>
              </a:p>
            </c:rich>
          </c:tx>
          <c:layout>
            <c:manualLayout>
              <c:xMode val="edge"/>
              <c:yMode val="edge"/>
              <c:x val="0.42401895523211308"/>
              <c:y val="0.93964334705075447"/>
            </c:manualLayout>
          </c:layout>
          <c:overlay val="0"/>
        </c:title>
        <c:numFmt formatCode="General" sourceLinked="1"/>
        <c:majorTickMark val="out"/>
        <c:minorTickMark val="none"/>
        <c:tickLblPos val="nextTo"/>
        <c:crossAx val="234578688"/>
        <c:crosses val="autoZero"/>
        <c:crossBetween val="midCat"/>
      </c:valAx>
      <c:valAx>
        <c:axId val="234578688"/>
        <c:scaling>
          <c:orientation val="minMax"/>
          <c:max val="0.4"/>
          <c:min val="0"/>
        </c:scaling>
        <c:delete val="0"/>
        <c:axPos val="l"/>
        <c:majorGridlines/>
        <c:title>
          <c:tx>
            <c:rich>
              <a:bodyPr rot="-5400000" vert="horz"/>
              <a:lstStyle/>
              <a:p>
                <a:pPr>
                  <a:defRPr b="1"/>
                </a:pPr>
                <a:r>
                  <a:rPr lang="en-US" b="1"/>
                  <a:t>Nitrogen Content (%)</a:t>
                </a:r>
                <a:endParaRPr lang="zh-CN" b="1"/>
              </a:p>
            </c:rich>
          </c:tx>
          <c:layout>
            <c:manualLayout>
              <c:xMode val="edge"/>
              <c:yMode val="edge"/>
              <c:x val="4.9613589967920663E-3"/>
              <c:y val="0.2651637901921402"/>
            </c:manualLayout>
          </c:layout>
          <c:overlay val="0"/>
        </c:title>
        <c:numFmt formatCode="General" sourceLinked="1"/>
        <c:majorTickMark val="out"/>
        <c:minorTickMark val="none"/>
        <c:tickLblPos val="nextTo"/>
        <c:crossAx val="234576512"/>
        <c:crosses val="autoZero"/>
        <c:crossBetween val="midCat"/>
      </c:valAx>
    </c:plotArea>
    <c:plotVisOnly val="1"/>
    <c:dispBlanksAs val="gap"/>
    <c:showDLblsOverMax val="0"/>
  </c:chart>
  <c:txPr>
    <a:bodyPr/>
    <a:lstStyle/>
    <a:p>
      <a:pPr>
        <a:defRPr b="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Malic Acid</a:t>
            </a:r>
          </a:p>
        </c:rich>
      </c:tx>
      <c:overlay val="1"/>
    </c:title>
    <c:autoTitleDeleted val="0"/>
    <c:plotArea>
      <c:layout>
        <c:manualLayout>
          <c:layoutTarget val="inner"/>
          <c:xMode val="edge"/>
          <c:yMode val="edge"/>
          <c:x val="0.16985538080546186"/>
          <c:y val="5.1941612561587698E-2"/>
          <c:w val="0.73410828058151822"/>
          <c:h val="0.76878077176018911"/>
        </c:manualLayout>
      </c:layout>
      <c:scatterChart>
        <c:scatterStyle val="lineMarker"/>
        <c:varyColors val="0"/>
        <c:ser>
          <c:idx val="0"/>
          <c:order val="0"/>
          <c:tx>
            <c:v>1</c:v>
          </c:tx>
          <c:spPr>
            <a:ln w="28575">
              <a:noFill/>
            </a:ln>
          </c:spPr>
          <c:marker>
            <c:symbol val="circle"/>
            <c:size val="4"/>
            <c:spPr>
              <a:solidFill>
                <a:srgbClr val="C00000"/>
              </a:solidFill>
              <a:ln>
                <a:solidFill>
                  <a:srgbClr val="C00000"/>
                </a:solidFill>
              </a:ln>
            </c:spPr>
          </c:marker>
          <c:xVal>
            <c:numRef>
              <c:f>'60AS1-B1&amp;2'!$A$3:$A$11</c:f>
              <c:numCache>
                <c:formatCode>General</c:formatCode>
                <c:ptCount val="9"/>
                <c:pt idx="0">
                  <c:v>23.3248287296</c:v>
                </c:pt>
                <c:pt idx="1">
                  <c:v>38.8248287296</c:v>
                </c:pt>
                <c:pt idx="2">
                  <c:v>44.8248287296</c:v>
                </c:pt>
                <c:pt idx="3">
                  <c:v>50.8248287296</c:v>
                </c:pt>
                <c:pt idx="4">
                  <c:v>61.3248287296</c:v>
                </c:pt>
                <c:pt idx="5">
                  <c:v>68.3248287296</c:v>
                </c:pt>
                <c:pt idx="6">
                  <c:v>76.3248287296</c:v>
                </c:pt>
                <c:pt idx="7">
                  <c:v>94.3248287296</c:v>
                </c:pt>
                <c:pt idx="8">
                  <c:v>120.3248287296</c:v>
                </c:pt>
              </c:numCache>
            </c:numRef>
          </c:xVal>
          <c:yVal>
            <c:numRef>
              <c:f>'60AS1-B1&amp;2'!$L$3:$L$11</c:f>
              <c:numCache>
                <c:formatCode>0.00</c:formatCode>
                <c:ptCount val="9"/>
                <c:pt idx="0">
                  <c:v>4.2939006869606687E-2</c:v>
                </c:pt>
                <c:pt idx="1">
                  <c:v>3.8915520346675947E-2</c:v>
                </c:pt>
                <c:pt idx="2">
                  <c:v>6.2482710436213999E-2</c:v>
                </c:pt>
                <c:pt idx="3">
                  <c:v>0.1374800673306773</c:v>
                </c:pt>
                <c:pt idx="4">
                  <c:v>0.14147964562606774</c:v>
                </c:pt>
                <c:pt idx="5">
                  <c:v>0.43023567235871568</c:v>
                </c:pt>
                <c:pt idx="6">
                  <c:v>0.62745518452960647</c:v>
                </c:pt>
                <c:pt idx="7">
                  <c:v>0.68409634284240506</c:v>
                </c:pt>
                <c:pt idx="8">
                  <c:v>0.68314518943596381</c:v>
                </c:pt>
              </c:numCache>
            </c:numRef>
          </c:yVal>
          <c:smooth val="0"/>
          <c:extLst>
            <c:ext xmlns:c16="http://schemas.microsoft.com/office/drawing/2014/chart" uri="{C3380CC4-5D6E-409C-BE32-E72D297353CC}">
              <c16:uniqueId val="{00000000-9BDC-4A49-BFDB-220FB8CE0509}"/>
            </c:ext>
          </c:extLst>
        </c:ser>
        <c:dLbls>
          <c:showLegendKey val="0"/>
          <c:showVal val="0"/>
          <c:showCatName val="0"/>
          <c:showSerName val="0"/>
          <c:showPercent val="0"/>
          <c:showBubbleSize val="0"/>
        </c:dLbls>
        <c:axId val="233804928"/>
        <c:axId val="233807232"/>
      </c:scatterChart>
      <c:valAx>
        <c:axId val="233804928"/>
        <c:scaling>
          <c:orientation val="minMax"/>
          <c:max val="100"/>
          <c:min val="0"/>
        </c:scaling>
        <c:delete val="0"/>
        <c:axPos val="b"/>
        <c:title>
          <c:tx>
            <c:rich>
              <a:bodyPr/>
              <a:lstStyle/>
              <a:p>
                <a:pPr>
                  <a:defRPr/>
                </a:pPr>
                <a:r>
                  <a:rPr lang="en-US"/>
                  <a:t>Time (h)</a:t>
                </a:r>
                <a:endParaRPr lang="zh-CN"/>
              </a:p>
            </c:rich>
          </c:tx>
          <c:overlay val="0"/>
        </c:title>
        <c:numFmt formatCode="General" sourceLinked="1"/>
        <c:majorTickMark val="out"/>
        <c:minorTickMark val="none"/>
        <c:tickLblPos val="nextTo"/>
        <c:crossAx val="233807232"/>
        <c:crosses val="autoZero"/>
        <c:crossBetween val="midCat"/>
      </c:valAx>
      <c:valAx>
        <c:axId val="233807232"/>
        <c:scaling>
          <c:orientation val="minMax"/>
          <c:max val="1"/>
          <c:min val="0"/>
        </c:scaling>
        <c:delete val="0"/>
        <c:axPos val="l"/>
        <c:majorGridlines/>
        <c:title>
          <c:tx>
            <c:rich>
              <a:bodyPr rot="-5400000" vert="horz"/>
              <a:lstStyle/>
              <a:p>
                <a:pPr>
                  <a:defRPr/>
                </a:pPr>
                <a:r>
                  <a:rPr lang="en-US"/>
                  <a:t>Concentration (g/l)</a:t>
                </a:r>
                <a:endParaRPr lang="zh-CN"/>
              </a:p>
            </c:rich>
          </c:tx>
          <c:overlay val="0"/>
        </c:title>
        <c:numFmt formatCode="0.0" sourceLinked="0"/>
        <c:majorTickMark val="out"/>
        <c:minorTickMark val="none"/>
        <c:tickLblPos val="nextTo"/>
        <c:crossAx val="233804928"/>
        <c:crosses val="autoZero"/>
        <c:crossBetween val="midCat"/>
        <c:majorUnit val="0.2"/>
      </c:valAx>
    </c:plotArea>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Acetic Acid</a:t>
            </a:r>
          </a:p>
        </c:rich>
      </c:tx>
      <c:overlay val="1"/>
    </c:title>
    <c:autoTitleDeleted val="0"/>
    <c:plotArea>
      <c:layout>
        <c:manualLayout>
          <c:layoutTarget val="inner"/>
          <c:xMode val="edge"/>
          <c:yMode val="edge"/>
          <c:x val="0.17129583557755609"/>
          <c:y val="5.1941612561587698E-2"/>
          <c:w val="0.74614527012007237"/>
          <c:h val="0.77041098237608507"/>
        </c:manualLayout>
      </c:layout>
      <c:scatterChart>
        <c:scatterStyle val="lineMarker"/>
        <c:varyColors val="0"/>
        <c:ser>
          <c:idx val="0"/>
          <c:order val="0"/>
          <c:tx>
            <c:v>1</c:v>
          </c:tx>
          <c:spPr>
            <a:ln w="28575">
              <a:noFill/>
            </a:ln>
          </c:spPr>
          <c:marker>
            <c:symbol val="circle"/>
            <c:size val="4"/>
            <c:spPr>
              <a:solidFill>
                <a:srgbClr val="C00000"/>
              </a:solidFill>
              <a:ln>
                <a:solidFill>
                  <a:srgbClr val="C00000"/>
                </a:solidFill>
              </a:ln>
            </c:spPr>
          </c:marker>
          <c:xVal>
            <c:numRef>
              <c:f>'60AS1-B1&amp;2'!$A$3:$A$11</c:f>
              <c:numCache>
                <c:formatCode>General</c:formatCode>
                <c:ptCount val="9"/>
                <c:pt idx="0">
                  <c:v>23.3248287296</c:v>
                </c:pt>
                <c:pt idx="1">
                  <c:v>38.8248287296</c:v>
                </c:pt>
                <c:pt idx="2">
                  <c:v>44.8248287296</c:v>
                </c:pt>
                <c:pt idx="3">
                  <c:v>50.8248287296</c:v>
                </c:pt>
                <c:pt idx="4">
                  <c:v>61.3248287296</c:v>
                </c:pt>
                <c:pt idx="5">
                  <c:v>68.3248287296</c:v>
                </c:pt>
                <c:pt idx="6">
                  <c:v>76.3248287296</c:v>
                </c:pt>
                <c:pt idx="7">
                  <c:v>94.3248287296</c:v>
                </c:pt>
                <c:pt idx="8">
                  <c:v>120.3248287296</c:v>
                </c:pt>
              </c:numCache>
            </c:numRef>
          </c:xVal>
          <c:yVal>
            <c:numRef>
              <c:f>'60AS1-B1&amp;2'!$M$3:$M$11</c:f>
              <c:numCache>
                <c:formatCode>0.00</c:formatCode>
                <c:ptCount val="9"/>
                <c:pt idx="0">
                  <c:v>0</c:v>
                </c:pt>
                <c:pt idx="1">
                  <c:v>0</c:v>
                </c:pt>
                <c:pt idx="2">
                  <c:v>0</c:v>
                </c:pt>
                <c:pt idx="3">
                  <c:v>0.37374234442709164</c:v>
                </c:pt>
                <c:pt idx="4">
                  <c:v>0.30773867427219237</c:v>
                </c:pt>
                <c:pt idx="5">
                  <c:v>0.27011810520825691</c:v>
                </c:pt>
                <c:pt idx="6">
                  <c:v>0.47026919214946677</c:v>
                </c:pt>
                <c:pt idx="7">
                  <c:v>0.34294915438536167</c:v>
                </c:pt>
                <c:pt idx="8">
                  <c:v>0.37867349158627173</c:v>
                </c:pt>
              </c:numCache>
            </c:numRef>
          </c:yVal>
          <c:smooth val="0"/>
          <c:extLst>
            <c:ext xmlns:c16="http://schemas.microsoft.com/office/drawing/2014/chart" uri="{C3380CC4-5D6E-409C-BE32-E72D297353CC}">
              <c16:uniqueId val="{00000000-5D33-4A5A-94AE-637EB9106D13}"/>
            </c:ext>
          </c:extLst>
        </c:ser>
        <c:dLbls>
          <c:showLegendKey val="0"/>
          <c:showVal val="0"/>
          <c:showCatName val="0"/>
          <c:showSerName val="0"/>
          <c:showPercent val="0"/>
          <c:showBubbleSize val="0"/>
        </c:dLbls>
        <c:axId val="233816448"/>
        <c:axId val="233965056"/>
      </c:scatterChart>
      <c:valAx>
        <c:axId val="233816448"/>
        <c:scaling>
          <c:orientation val="minMax"/>
          <c:max val="100"/>
          <c:min val="0"/>
        </c:scaling>
        <c:delete val="0"/>
        <c:axPos val="b"/>
        <c:title>
          <c:tx>
            <c:rich>
              <a:bodyPr/>
              <a:lstStyle/>
              <a:p>
                <a:pPr>
                  <a:defRPr/>
                </a:pPr>
                <a:r>
                  <a:rPr lang="en-US"/>
                  <a:t>Time (h)</a:t>
                </a:r>
                <a:endParaRPr lang="zh-CN"/>
              </a:p>
            </c:rich>
          </c:tx>
          <c:overlay val="0"/>
        </c:title>
        <c:numFmt formatCode="General" sourceLinked="1"/>
        <c:majorTickMark val="out"/>
        <c:minorTickMark val="none"/>
        <c:tickLblPos val="nextTo"/>
        <c:crossAx val="233965056"/>
        <c:crosses val="autoZero"/>
        <c:crossBetween val="midCat"/>
      </c:valAx>
      <c:valAx>
        <c:axId val="233965056"/>
        <c:scaling>
          <c:orientation val="minMax"/>
          <c:max val="1"/>
          <c:min val="0"/>
        </c:scaling>
        <c:delete val="0"/>
        <c:axPos val="l"/>
        <c:majorGridlines/>
        <c:title>
          <c:tx>
            <c:rich>
              <a:bodyPr rot="-5400000" vert="horz"/>
              <a:lstStyle/>
              <a:p>
                <a:pPr>
                  <a:defRPr/>
                </a:pPr>
                <a:r>
                  <a:rPr lang="en-US"/>
                  <a:t>Concentration (g/l)</a:t>
                </a:r>
                <a:endParaRPr lang="zh-CN"/>
              </a:p>
            </c:rich>
          </c:tx>
          <c:overlay val="0"/>
        </c:title>
        <c:numFmt formatCode="0.0" sourceLinked="0"/>
        <c:majorTickMark val="out"/>
        <c:minorTickMark val="none"/>
        <c:tickLblPos val="nextTo"/>
        <c:crossAx val="233816448"/>
        <c:crosses val="autoZero"/>
        <c:crossBetween val="midCat"/>
        <c:majorUnit val="0.2"/>
      </c:valAx>
    </c:plotArea>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Malic Acid</a:t>
            </a:r>
          </a:p>
        </c:rich>
      </c:tx>
      <c:overlay val="1"/>
    </c:title>
    <c:autoTitleDeleted val="0"/>
    <c:plotArea>
      <c:layout>
        <c:manualLayout>
          <c:layoutTarget val="inner"/>
          <c:xMode val="edge"/>
          <c:yMode val="edge"/>
          <c:x val="0.16483658961108683"/>
          <c:y val="5.1941612561587698E-2"/>
          <c:w val="0.73828710730100633"/>
          <c:h val="0.77079183293697895"/>
        </c:manualLayout>
      </c:layout>
      <c:scatterChart>
        <c:scatterStyle val="smoothMarker"/>
        <c:varyColors val="0"/>
        <c:ser>
          <c:idx val="1"/>
          <c:order val="1"/>
          <c:spPr>
            <a:ln>
              <a:solidFill>
                <a:srgbClr val="002060"/>
              </a:solidFill>
            </a:ln>
          </c:spPr>
          <c:marker>
            <c:symbol val="none"/>
          </c:marker>
          <c:xVal>
            <c:numRef>
              <c:f>'60AS1-B1&amp;2'!$L$29:$L$46</c:f>
              <c:numCache>
                <c:formatCode>0</c:formatCode>
                <c:ptCount val="18"/>
                <c:pt idx="0">
                  <c:v>0</c:v>
                </c:pt>
                <c:pt idx="1">
                  <c:v>6.09</c:v>
                </c:pt>
                <c:pt idx="2">
                  <c:v>17.59</c:v>
                </c:pt>
                <c:pt idx="3">
                  <c:v>24</c:v>
                </c:pt>
                <c:pt idx="4">
                  <c:v>27.09</c:v>
                </c:pt>
                <c:pt idx="5">
                  <c:v>33.090000000000003</c:v>
                </c:pt>
                <c:pt idx="6">
                  <c:v>39.5</c:v>
                </c:pt>
                <c:pt idx="7">
                  <c:v>43.09</c:v>
                </c:pt>
                <c:pt idx="8">
                  <c:v>45.5</c:v>
                </c:pt>
                <c:pt idx="9">
                  <c:v>51.5</c:v>
                </c:pt>
                <c:pt idx="10">
                  <c:v>56.09</c:v>
                </c:pt>
                <c:pt idx="11">
                  <c:v>62</c:v>
                </c:pt>
                <c:pt idx="12">
                  <c:v>65.09</c:v>
                </c:pt>
                <c:pt idx="13">
                  <c:v>69</c:v>
                </c:pt>
                <c:pt idx="14">
                  <c:v>75.09</c:v>
                </c:pt>
                <c:pt idx="15">
                  <c:v>77</c:v>
                </c:pt>
                <c:pt idx="16">
                  <c:v>88.09</c:v>
                </c:pt>
                <c:pt idx="17">
                  <c:v>109.09</c:v>
                </c:pt>
              </c:numCache>
            </c:numRef>
          </c:xVal>
          <c:yVal>
            <c:numRef>
              <c:f>'60AS1-B1&amp;2'!$M$29:$M$46</c:f>
              <c:numCache>
                <c:formatCode>General</c:formatCode>
                <c:ptCount val="18"/>
                <c:pt idx="0">
                  <c:v>0</c:v>
                </c:pt>
                <c:pt idx="1">
                  <c:v>0</c:v>
                </c:pt>
                <c:pt idx="2">
                  <c:v>0</c:v>
                </c:pt>
                <c:pt idx="3">
                  <c:v>0</c:v>
                </c:pt>
                <c:pt idx="4">
                  <c:v>0</c:v>
                </c:pt>
                <c:pt idx="5">
                  <c:v>1.6843629370533501E-3</c:v>
                </c:pt>
                <c:pt idx="6">
                  <c:v>2.13165027800339E-2</c:v>
                </c:pt>
                <c:pt idx="7">
                  <c:v>2.3756392731850099E-2</c:v>
                </c:pt>
                <c:pt idx="8">
                  <c:v>3.0680415203905395E-2</c:v>
                </c:pt>
                <c:pt idx="9">
                  <c:v>4.3972798144992963E-2</c:v>
                </c:pt>
                <c:pt idx="10">
                  <c:v>0.10656005062308006</c:v>
                </c:pt>
                <c:pt idx="11">
                  <c:v>0.28225813871260208</c:v>
                </c:pt>
                <c:pt idx="12">
                  <c:v>0.37930901207773271</c:v>
                </c:pt>
                <c:pt idx="13">
                  <c:v>0.49136276819082436</c:v>
                </c:pt>
                <c:pt idx="14">
                  <c:v>0.60388400155488442</c:v>
                </c:pt>
                <c:pt idx="15">
                  <c:v>0.62437739107891066</c:v>
                </c:pt>
                <c:pt idx="16">
                  <c:v>0.6488685231039556</c:v>
                </c:pt>
                <c:pt idx="17">
                  <c:v>0.70008723343704693</c:v>
                </c:pt>
              </c:numCache>
            </c:numRef>
          </c:yVal>
          <c:smooth val="1"/>
          <c:extLst>
            <c:ext xmlns:c16="http://schemas.microsoft.com/office/drawing/2014/chart" uri="{C3380CC4-5D6E-409C-BE32-E72D297353CC}">
              <c16:uniqueId val="{00000000-AECE-458A-BDEC-E02F7EE0AB10}"/>
            </c:ext>
          </c:extLst>
        </c:ser>
        <c:dLbls>
          <c:showLegendKey val="0"/>
          <c:showVal val="0"/>
          <c:showCatName val="0"/>
          <c:showSerName val="0"/>
          <c:showPercent val="0"/>
          <c:showBubbleSize val="0"/>
        </c:dLbls>
        <c:axId val="233995648"/>
        <c:axId val="234001920"/>
      </c:scatterChart>
      <c:scatterChart>
        <c:scatterStyle val="lineMarker"/>
        <c:varyColors val="0"/>
        <c:ser>
          <c:idx val="0"/>
          <c:order val="0"/>
          <c:tx>
            <c:v>1</c:v>
          </c:tx>
          <c:spPr>
            <a:ln w="28575">
              <a:noFill/>
            </a:ln>
          </c:spPr>
          <c:marker>
            <c:symbol val="circle"/>
            <c:size val="4"/>
            <c:spPr>
              <a:solidFill>
                <a:srgbClr val="C00000"/>
              </a:solidFill>
              <a:ln>
                <a:noFill/>
              </a:ln>
            </c:spPr>
          </c:marker>
          <c:xVal>
            <c:numRef>
              <c:f>'60AS1-B1&amp;2'!$A$3:$A$11</c:f>
              <c:numCache>
                <c:formatCode>General</c:formatCode>
                <c:ptCount val="9"/>
                <c:pt idx="0">
                  <c:v>23.3248287296</c:v>
                </c:pt>
                <c:pt idx="1">
                  <c:v>38.8248287296</c:v>
                </c:pt>
                <c:pt idx="2">
                  <c:v>44.8248287296</c:v>
                </c:pt>
                <c:pt idx="3">
                  <c:v>50.8248287296</c:v>
                </c:pt>
                <c:pt idx="4">
                  <c:v>61.3248287296</c:v>
                </c:pt>
                <c:pt idx="5">
                  <c:v>68.3248287296</c:v>
                </c:pt>
                <c:pt idx="6">
                  <c:v>76.3248287296</c:v>
                </c:pt>
                <c:pt idx="7">
                  <c:v>94.3248287296</c:v>
                </c:pt>
                <c:pt idx="8">
                  <c:v>120.3248287296</c:v>
                </c:pt>
              </c:numCache>
            </c:numRef>
          </c:xVal>
          <c:yVal>
            <c:numRef>
              <c:f>'60AS1-B1&amp;2'!$L$3:$L$11</c:f>
              <c:numCache>
                <c:formatCode>0.00</c:formatCode>
                <c:ptCount val="9"/>
                <c:pt idx="0">
                  <c:v>4.2939006869606687E-2</c:v>
                </c:pt>
                <c:pt idx="1">
                  <c:v>3.8915520346675947E-2</c:v>
                </c:pt>
                <c:pt idx="2">
                  <c:v>6.2482710436213999E-2</c:v>
                </c:pt>
                <c:pt idx="3">
                  <c:v>0.1374800673306773</c:v>
                </c:pt>
                <c:pt idx="4">
                  <c:v>0.14147964562606774</c:v>
                </c:pt>
                <c:pt idx="5">
                  <c:v>0.43023567235871568</c:v>
                </c:pt>
                <c:pt idx="6">
                  <c:v>0.62745518452960647</c:v>
                </c:pt>
                <c:pt idx="7">
                  <c:v>0.68409634284240506</c:v>
                </c:pt>
                <c:pt idx="8">
                  <c:v>0.68314518943596381</c:v>
                </c:pt>
              </c:numCache>
            </c:numRef>
          </c:yVal>
          <c:smooth val="0"/>
          <c:extLst>
            <c:ext xmlns:c16="http://schemas.microsoft.com/office/drawing/2014/chart" uri="{C3380CC4-5D6E-409C-BE32-E72D297353CC}">
              <c16:uniqueId val="{00000001-AECE-458A-BDEC-E02F7EE0AB10}"/>
            </c:ext>
          </c:extLst>
        </c:ser>
        <c:ser>
          <c:idx val="2"/>
          <c:order val="2"/>
          <c:tx>
            <c:v>pH</c:v>
          </c:tx>
          <c:spPr>
            <a:ln w="28575">
              <a:noFill/>
            </a:ln>
          </c:spPr>
          <c:xVal>
            <c:numRef>
              <c:f>'60AS1-B1&amp;2'!$L$29:$L$46</c:f>
              <c:numCache>
                <c:formatCode>0</c:formatCode>
                <c:ptCount val="18"/>
                <c:pt idx="0">
                  <c:v>0</c:v>
                </c:pt>
                <c:pt idx="1">
                  <c:v>6.09</c:v>
                </c:pt>
                <c:pt idx="2">
                  <c:v>17.59</c:v>
                </c:pt>
                <c:pt idx="3">
                  <c:v>24</c:v>
                </c:pt>
                <c:pt idx="4">
                  <c:v>27.09</c:v>
                </c:pt>
                <c:pt idx="5">
                  <c:v>33.090000000000003</c:v>
                </c:pt>
                <c:pt idx="6">
                  <c:v>39.5</c:v>
                </c:pt>
                <c:pt idx="7">
                  <c:v>43.09</c:v>
                </c:pt>
                <c:pt idx="8">
                  <c:v>45.5</c:v>
                </c:pt>
                <c:pt idx="9">
                  <c:v>51.5</c:v>
                </c:pt>
                <c:pt idx="10">
                  <c:v>56.09</c:v>
                </c:pt>
                <c:pt idx="11">
                  <c:v>62</c:v>
                </c:pt>
                <c:pt idx="12">
                  <c:v>65.09</c:v>
                </c:pt>
                <c:pt idx="13">
                  <c:v>69</c:v>
                </c:pt>
                <c:pt idx="14">
                  <c:v>75.09</c:v>
                </c:pt>
                <c:pt idx="15">
                  <c:v>77</c:v>
                </c:pt>
                <c:pt idx="16">
                  <c:v>88.09</c:v>
                </c:pt>
                <c:pt idx="17">
                  <c:v>109.09</c:v>
                </c:pt>
              </c:numCache>
            </c:numRef>
          </c:xVal>
          <c:yVal>
            <c:numRef>
              <c:f>'60AS1-B1&amp;2'!$O$29:$O$46</c:f>
              <c:numCache>
                <c:formatCode>General</c:formatCode>
                <c:ptCount val="18"/>
                <c:pt idx="0">
                  <c:v>7.05</c:v>
                </c:pt>
                <c:pt idx="1">
                  <c:v>7.0379480272443553</c:v>
                </c:pt>
                <c:pt idx="2">
                  <c:v>6.8996110054495796</c:v>
                </c:pt>
                <c:pt idx="3">
                  <c:v>6.8012367359999999</c:v>
                </c:pt>
                <c:pt idx="4">
                  <c:v>6.7551382800385511</c:v>
                </c:pt>
                <c:pt idx="5">
                  <c:v>6.673044707407807</c:v>
                </c:pt>
                <c:pt idx="6">
                  <c:v>6.5982870306874997</c:v>
                </c:pt>
                <c:pt idx="7">
                  <c:v>6.561178517492567</c:v>
                </c:pt>
                <c:pt idx="8">
                  <c:v>6.5474872864927214</c:v>
                </c:pt>
                <c:pt idx="9">
                  <c:v>6.4843494432790827</c:v>
                </c:pt>
                <c:pt idx="10">
                  <c:v>6.3981756963293996</c:v>
                </c:pt>
                <c:pt idx="11">
                  <c:v>6.2001890453439863</c:v>
                </c:pt>
                <c:pt idx="12">
                  <c:v>6.045656705637878</c:v>
                </c:pt>
                <c:pt idx="13">
                  <c:v>5.7978481618330129</c:v>
                </c:pt>
                <c:pt idx="14">
                  <c:v>5.3313099697528337</c:v>
                </c:pt>
                <c:pt idx="15">
                  <c:v>5.1830711203690321</c:v>
                </c:pt>
                <c:pt idx="16">
                  <c:v>4.9677271260999998</c:v>
                </c:pt>
                <c:pt idx="17">
                  <c:v>4.4978643060999985</c:v>
                </c:pt>
              </c:numCache>
            </c:numRef>
          </c:yVal>
          <c:smooth val="0"/>
          <c:extLst>
            <c:ext xmlns:c16="http://schemas.microsoft.com/office/drawing/2014/chart" uri="{C3380CC4-5D6E-409C-BE32-E72D297353CC}">
              <c16:uniqueId val="{00000002-AECE-458A-BDEC-E02F7EE0AB10}"/>
            </c:ext>
          </c:extLst>
        </c:ser>
        <c:dLbls>
          <c:showLegendKey val="0"/>
          <c:showVal val="0"/>
          <c:showCatName val="0"/>
          <c:showSerName val="0"/>
          <c:showPercent val="0"/>
          <c:showBubbleSize val="0"/>
        </c:dLbls>
        <c:axId val="233995648"/>
        <c:axId val="234001920"/>
      </c:scatterChart>
      <c:valAx>
        <c:axId val="233995648"/>
        <c:scaling>
          <c:orientation val="minMax"/>
          <c:max val="100"/>
          <c:min val="0"/>
        </c:scaling>
        <c:delete val="0"/>
        <c:axPos val="b"/>
        <c:title>
          <c:tx>
            <c:rich>
              <a:bodyPr/>
              <a:lstStyle/>
              <a:p>
                <a:pPr>
                  <a:defRPr/>
                </a:pPr>
                <a:r>
                  <a:rPr lang="en-US"/>
                  <a:t>Time (h)</a:t>
                </a:r>
                <a:endParaRPr lang="zh-CN"/>
              </a:p>
            </c:rich>
          </c:tx>
          <c:overlay val="0"/>
        </c:title>
        <c:numFmt formatCode="0" sourceLinked="1"/>
        <c:majorTickMark val="out"/>
        <c:minorTickMark val="none"/>
        <c:tickLblPos val="nextTo"/>
        <c:crossAx val="234001920"/>
        <c:crosses val="autoZero"/>
        <c:crossBetween val="midCat"/>
      </c:valAx>
      <c:valAx>
        <c:axId val="234001920"/>
        <c:scaling>
          <c:orientation val="minMax"/>
          <c:max val="1"/>
          <c:min val="0"/>
        </c:scaling>
        <c:delete val="0"/>
        <c:axPos val="l"/>
        <c:majorGridlines/>
        <c:title>
          <c:tx>
            <c:rich>
              <a:bodyPr rot="-5400000" vert="horz"/>
              <a:lstStyle/>
              <a:p>
                <a:pPr>
                  <a:defRPr/>
                </a:pPr>
                <a:r>
                  <a:rPr lang="en-US"/>
                  <a:t>Concentration (g/l)</a:t>
                </a:r>
                <a:endParaRPr lang="zh-CN"/>
              </a:p>
            </c:rich>
          </c:tx>
          <c:overlay val="0"/>
        </c:title>
        <c:numFmt formatCode="0.0" sourceLinked="0"/>
        <c:majorTickMark val="out"/>
        <c:minorTickMark val="none"/>
        <c:tickLblPos val="nextTo"/>
        <c:crossAx val="233995648"/>
        <c:crosses val="autoZero"/>
        <c:crossBetween val="midCat"/>
        <c:majorUnit val="0.2"/>
      </c:valAx>
    </c:plotArea>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Acetic Acid</a:t>
            </a:r>
          </a:p>
        </c:rich>
      </c:tx>
      <c:overlay val="1"/>
    </c:title>
    <c:autoTitleDeleted val="0"/>
    <c:plotArea>
      <c:layout>
        <c:manualLayout>
          <c:layoutTarget val="inner"/>
          <c:xMode val="edge"/>
          <c:yMode val="edge"/>
          <c:x val="0.17126303750596208"/>
          <c:y val="5.1941612561587698E-2"/>
          <c:w val="0.76966049915633383"/>
          <c:h val="0.76533130161438234"/>
        </c:manualLayout>
      </c:layout>
      <c:scatterChart>
        <c:scatterStyle val="smoothMarker"/>
        <c:varyColors val="0"/>
        <c:ser>
          <c:idx val="1"/>
          <c:order val="1"/>
          <c:spPr>
            <a:ln>
              <a:solidFill>
                <a:srgbClr val="002060"/>
              </a:solidFill>
            </a:ln>
          </c:spPr>
          <c:marker>
            <c:symbol val="none"/>
          </c:marker>
          <c:xVal>
            <c:numRef>
              <c:f>'60AS1-B1&amp;2'!$L$29:$L$46</c:f>
              <c:numCache>
                <c:formatCode>0</c:formatCode>
                <c:ptCount val="18"/>
                <c:pt idx="0">
                  <c:v>0</c:v>
                </c:pt>
                <c:pt idx="1">
                  <c:v>6.09</c:v>
                </c:pt>
                <c:pt idx="2">
                  <c:v>17.59</c:v>
                </c:pt>
                <c:pt idx="3">
                  <c:v>24</c:v>
                </c:pt>
                <c:pt idx="4">
                  <c:v>27.09</c:v>
                </c:pt>
                <c:pt idx="5">
                  <c:v>33.090000000000003</c:v>
                </c:pt>
                <c:pt idx="6">
                  <c:v>39.5</c:v>
                </c:pt>
                <c:pt idx="7">
                  <c:v>43.09</c:v>
                </c:pt>
                <c:pt idx="8">
                  <c:v>45.5</c:v>
                </c:pt>
                <c:pt idx="9">
                  <c:v>51.5</c:v>
                </c:pt>
                <c:pt idx="10">
                  <c:v>56.09</c:v>
                </c:pt>
                <c:pt idx="11">
                  <c:v>62</c:v>
                </c:pt>
                <c:pt idx="12">
                  <c:v>65.09</c:v>
                </c:pt>
                <c:pt idx="13">
                  <c:v>69</c:v>
                </c:pt>
                <c:pt idx="14">
                  <c:v>75.09</c:v>
                </c:pt>
                <c:pt idx="15">
                  <c:v>77</c:v>
                </c:pt>
                <c:pt idx="16">
                  <c:v>88.09</c:v>
                </c:pt>
                <c:pt idx="17">
                  <c:v>109.09</c:v>
                </c:pt>
              </c:numCache>
            </c:numRef>
          </c:xVal>
          <c:yVal>
            <c:numRef>
              <c:f>'60AS1-B1&amp;2'!$N$29:$N$46</c:f>
              <c:numCache>
                <c:formatCode>General</c:formatCode>
                <c:ptCount val="18"/>
                <c:pt idx="0">
                  <c:v>0</c:v>
                </c:pt>
                <c:pt idx="1">
                  <c:v>0</c:v>
                </c:pt>
                <c:pt idx="2">
                  <c:v>0</c:v>
                </c:pt>
                <c:pt idx="3">
                  <c:v>0</c:v>
                </c:pt>
                <c:pt idx="4">
                  <c:v>0</c:v>
                </c:pt>
                <c:pt idx="5">
                  <c:v>2.5749584597228501E-3</c:v>
                </c:pt>
                <c:pt idx="6">
                  <c:v>6.0200485376535997E-3</c:v>
                </c:pt>
                <c:pt idx="7">
                  <c:v>1.0433618877703501E-2</c:v>
                </c:pt>
                <c:pt idx="8">
                  <c:v>1.3951653946585135E-2</c:v>
                </c:pt>
                <c:pt idx="9">
                  <c:v>2.0044240200734049E-2</c:v>
                </c:pt>
                <c:pt idx="10">
                  <c:v>4.8762141365438938E-2</c:v>
                </c:pt>
                <c:pt idx="11">
                  <c:v>0.13076382215255999</c:v>
                </c:pt>
                <c:pt idx="12">
                  <c:v>0.17823480633347202</c:v>
                </c:pt>
                <c:pt idx="13">
                  <c:v>0.23922119983955828</c:v>
                </c:pt>
                <c:pt idx="14">
                  <c:v>0.33898388896528331</c:v>
                </c:pt>
                <c:pt idx="15">
                  <c:v>0.37886991210023718</c:v>
                </c:pt>
                <c:pt idx="16">
                  <c:v>0.45822453165301102</c:v>
                </c:pt>
                <c:pt idx="17">
                  <c:v>0.52116037480178201</c:v>
                </c:pt>
              </c:numCache>
            </c:numRef>
          </c:yVal>
          <c:smooth val="1"/>
          <c:extLst>
            <c:ext xmlns:c16="http://schemas.microsoft.com/office/drawing/2014/chart" uri="{C3380CC4-5D6E-409C-BE32-E72D297353CC}">
              <c16:uniqueId val="{00000000-974A-4446-A335-8DC8904E1850}"/>
            </c:ext>
          </c:extLst>
        </c:ser>
        <c:dLbls>
          <c:showLegendKey val="0"/>
          <c:showVal val="0"/>
          <c:showCatName val="0"/>
          <c:showSerName val="0"/>
          <c:showPercent val="0"/>
          <c:showBubbleSize val="0"/>
        </c:dLbls>
        <c:axId val="234023168"/>
        <c:axId val="234164992"/>
      </c:scatterChart>
      <c:scatterChart>
        <c:scatterStyle val="lineMarker"/>
        <c:varyColors val="0"/>
        <c:ser>
          <c:idx val="0"/>
          <c:order val="0"/>
          <c:tx>
            <c:v>1</c:v>
          </c:tx>
          <c:spPr>
            <a:ln w="28575">
              <a:noFill/>
            </a:ln>
          </c:spPr>
          <c:marker>
            <c:symbol val="circle"/>
            <c:size val="4"/>
            <c:spPr>
              <a:solidFill>
                <a:srgbClr val="C00000"/>
              </a:solidFill>
              <a:ln>
                <a:noFill/>
              </a:ln>
            </c:spPr>
          </c:marker>
          <c:xVal>
            <c:numRef>
              <c:f>'60AS1-B1&amp;2'!$A$3:$A$11</c:f>
              <c:numCache>
                <c:formatCode>General</c:formatCode>
                <c:ptCount val="9"/>
                <c:pt idx="0">
                  <c:v>23.3248287296</c:v>
                </c:pt>
                <c:pt idx="1">
                  <c:v>38.8248287296</c:v>
                </c:pt>
                <c:pt idx="2">
                  <c:v>44.8248287296</c:v>
                </c:pt>
                <c:pt idx="3">
                  <c:v>50.8248287296</c:v>
                </c:pt>
                <c:pt idx="4">
                  <c:v>61.3248287296</c:v>
                </c:pt>
                <c:pt idx="5">
                  <c:v>68.3248287296</c:v>
                </c:pt>
                <c:pt idx="6">
                  <c:v>76.3248287296</c:v>
                </c:pt>
                <c:pt idx="7">
                  <c:v>94.3248287296</c:v>
                </c:pt>
                <c:pt idx="8">
                  <c:v>120.3248287296</c:v>
                </c:pt>
              </c:numCache>
            </c:numRef>
          </c:xVal>
          <c:yVal>
            <c:numRef>
              <c:f>'60AS1-B1&amp;2'!$M$3:$M$11</c:f>
              <c:numCache>
                <c:formatCode>0.00</c:formatCode>
                <c:ptCount val="9"/>
                <c:pt idx="0">
                  <c:v>0</c:v>
                </c:pt>
                <c:pt idx="1">
                  <c:v>0</c:v>
                </c:pt>
                <c:pt idx="2">
                  <c:v>0</c:v>
                </c:pt>
                <c:pt idx="3">
                  <c:v>0.37374234442709164</c:v>
                </c:pt>
                <c:pt idx="4">
                  <c:v>0.30773867427219237</c:v>
                </c:pt>
                <c:pt idx="5">
                  <c:v>0.27011810520825691</c:v>
                </c:pt>
                <c:pt idx="6">
                  <c:v>0.47026919214946677</c:v>
                </c:pt>
                <c:pt idx="7">
                  <c:v>0.34294915438536167</c:v>
                </c:pt>
                <c:pt idx="8">
                  <c:v>0.37867349158627173</c:v>
                </c:pt>
              </c:numCache>
            </c:numRef>
          </c:yVal>
          <c:smooth val="0"/>
          <c:extLst>
            <c:ext xmlns:c16="http://schemas.microsoft.com/office/drawing/2014/chart" uri="{C3380CC4-5D6E-409C-BE32-E72D297353CC}">
              <c16:uniqueId val="{00000001-974A-4446-A335-8DC8904E1850}"/>
            </c:ext>
          </c:extLst>
        </c:ser>
        <c:dLbls>
          <c:showLegendKey val="0"/>
          <c:showVal val="0"/>
          <c:showCatName val="0"/>
          <c:showSerName val="0"/>
          <c:showPercent val="0"/>
          <c:showBubbleSize val="0"/>
        </c:dLbls>
        <c:axId val="234023168"/>
        <c:axId val="234164992"/>
      </c:scatterChart>
      <c:valAx>
        <c:axId val="234023168"/>
        <c:scaling>
          <c:orientation val="minMax"/>
          <c:max val="100"/>
          <c:min val="0"/>
        </c:scaling>
        <c:delete val="0"/>
        <c:axPos val="b"/>
        <c:title>
          <c:tx>
            <c:rich>
              <a:bodyPr/>
              <a:lstStyle/>
              <a:p>
                <a:pPr>
                  <a:defRPr/>
                </a:pPr>
                <a:r>
                  <a:rPr lang="en-US"/>
                  <a:t>Time (h)</a:t>
                </a:r>
                <a:endParaRPr lang="zh-CN"/>
              </a:p>
            </c:rich>
          </c:tx>
          <c:overlay val="0"/>
        </c:title>
        <c:numFmt formatCode="0" sourceLinked="1"/>
        <c:majorTickMark val="out"/>
        <c:minorTickMark val="none"/>
        <c:tickLblPos val="nextTo"/>
        <c:crossAx val="234164992"/>
        <c:crosses val="autoZero"/>
        <c:crossBetween val="midCat"/>
      </c:valAx>
      <c:valAx>
        <c:axId val="234164992"/>
        <c:scaling>
          <c:orientation val="minMax"/>
          <c:max val="1"/>
          <c:min val="0"/>
        </c:scaling>
        <c:delete val="0"/>
        <c:axPos val="l"/>
        <c:majorGridlines/>
        <c:title>
          <c:tx>
            <c:rich>
              <a:bodyPr rot="-5400000" vert="horz"/>
              <a:lstStyle/>
              <a:p>
                <a:pPr>
                  <a:defRPr/>
                </a:pPr>
                <a:r>
                  <a:rPr lang="en-US"/>
                  <a:t>Concentration (g/l)</a:t>
                </a:r>
                <a:endParaRPr lang="zh-CN"/>
              </a:p>
            </c:rich>
          </c:tx>
          <c:overlay val="0"/>
        </c:title>
        <c:numFmt formatCode="0.0" sourceLinked="0"/>
        <c:majorTickMark val="out"/>
        <c:minorTickMark val="none"/>
        <c:tickLblPos val="nextTo"/>
        <c:crossAx val="234023168"/>
        <c:crosses val="autoZero"/>
        <c:crossBetween val="midCat"/>
        <c:majorUnit val="0.2"/>
      </c:valAx>
    </c:plotArea>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483658961108683"/>
          <c:y val="5.1941612561587698E-2"/>
          <c:w val="0.65718769209879691"/>
          <c:h val="0.77079183293697895"/>
        </c:manualLayout>
      </c:layout>
      <c:scatterChart>
        <c:scatterStyle val="lineMarker"/>
        <c:varyColors val="0"/>
        <c:ser>
          <c:idx val="0"/>
          <c:order val="0"/>
          <c:tx>
            <c:v>pH</c:v>
          </c:tx>
          <c:spPr>
            <a:ln w="28575">
              <a:noFill/>
            </a:ln>
          </c:spPr>
          <c:marker>
            <c:symbol val="circle"/>
            <c:size val="5"/>
            <c:spPr>
              <a:noFill/>
              <a:ln>
                <a:solidFill>
                  <a:schemeClr val="tx1"/>
                </a:solidFill>
              </a:ln>
            </c:spPr>
          </c:marker>
          <c:xVal>
            <c:numRef>
              <c:f>'60AS1-B1&amp;2'!$L$29:$L$46</c:f>
              <c:numCache>
                <c:formatCode>0</c:formatCode>
                <c:ptCount val="18"/>
                <c:pt idx="0">
                  <c:v>0</c:v>
                </c:pt>
                <c:pt idx="1">
                  <c:v>6.09</c:v>
                </c:pt>
                <c:pt idx="2">
                  <c:v>17.59</c:v>
                </c:pt>
                <c:pt idx="3">
                  <c:v>24</c:v>
                </c:pt>
                <c:pt idx="4">
                  <c:v>27.09</c:v>
                </c:pt>
                <c:pt idx="5">
                  <c:v>33.090000000000003</c:v>
                </c:pt>
                <c:pt idx="6">
                  <c:v>39.5</c:v>
                </c:pt>
                <c:pt idx="7">
                  <c:v>43.09</c:v>
                </c:pt>
                <c:pt idx="8">
                  <c:v>45.5</c:v>
                </c:pt>
                <c:pt idx="9">
                  <c:v>51.5</c:v>
                </c:pt>
                <c:pt idx="10">
                  <c:v>56.09</c:v>
                </c:pt>
                <c:pt idx="11">
                  <c:v>62</c:v>
                </c:pt>
                <c:pt idx="12">
                  <c:v>65.09</c:v>
                </c:pt>
                <c:pt idx="13">
                  <c:v>69</c:v>
                </c:pt>
                <c:pt idx="14">
                  <c:v>75.09</c:v>
                </c:pt>
                <c:pt idx="15">
                  <c:v>77</c:v>
                </c:pt>
                <c:pt idx="16">
                  <c:v>88.09</c:v>
                </c:pt>
                <c:pt idx="17">
                  <c:v>109.09</c:v>
                </c:pt>
              </c:numCache>
            </c:numRef>
          </c:xVal>
          <c:yVal>
            <c:numRef>
              <c:f>'60AS1-B1&amp;2'!$O$29:$O$46</c:f>
              <c:numCache>
                <c:formatCode>General</c:formatCode>
                <c:ptCount val="18"/>
                <c:pt idx="0">
                  <c:v>7.05</c:v>
                </c:pt>
                <c:pt idx="1">
                  <c:v>7.0379480272443553</c:v>
                </c:pt>
                <c:pt idx="2">
                  <c:v>6.8996110054495796</c:v>
                </c:pt>
                <c:pt idx="3">
                  <c:v>6.8012367359999999</c:v>
                </c:pt>
                <c:pt idx="4">
                  <c:v>6.7551382800385511</c:v>
                </c:pt>
                <c:pt idx="5">
                  <c:v>6.673044707407807</c:v>
                </c:pt>
                <c:pt idx="6">
                  <c:v>6.5982870306874997</c:v>
                </c:pt>
                <c:pt idx="7">
                  <c:v>6.561178517492567</c:v>
                </c:pt>
                <c:pt idx="8">
                  <c:v>6.5474872864927214</c:v>
                </c:pt>
                <c:pt idx="9">
                  <c:v>6.4843494432790827</c:v>
                </c:pt>
                <c:pt idx="10">
                  <c:v>6.3981756963293996</c:v>
                </c:pt>
                <c:pt idx="11">
                  <c:v>6.2001890453439863</c:v>
                </c:pt>
                <c:pt idx="12">
                  <c:v>6.045656705637878</c:v>
                </c:pt>
                <c:pt idx="13">
                  <c:v>5.7978481618330129</c:v>
                </c:pt>
                <c:pt idx="14">
                  <c:v>5.3313099697528337</c:v>
                </c:pt>
                <c:pt idx="15">
                  <c:v>5.1830711203690321</c:v>
                </c:pt>
                <c:pt idx="16">
                  <c:v>4.9677271260999998</c:v>
                </c:pt>
                <c:pt idx="17">
                  <c:v>4.4978643060999985</c:v>
                </c:pt>
              </c:numCache>
            </c:numRef>
          </c:yVal>
          <c:smooth val="0"/>
          <c:extLst>
            <c:ext xmlns:c16="http://schemas.microsoft.com/office/drawing/2014/chart" uri="{C3380CC4-5D6E-409C-BE32-E72D297353CC}">
              <c16:uniqueId val="{00000000-2FD5-4B87-BA3B-AC32AF2CA008}"/>
            </c:ext>
          </c:extLst>
        </c:ser>
        <c:dLbls>
          <c:showLegendKey val="0"/>
          <c:showVal val="0"/>
          <c:showCatName val="0"/>
          <c:showSerName val="0"/>
          <c:showPercent val="0"/>
          <c:showBubbleSize val="0"/>
        </c:dLbls>
        <c:axId val="234195584"/>
        <c:axId val="234202240"/>
      </c:scatterChart>
      <c:scatterChart>
        <c:scatterStyle val="lineMarker"/>
        <c:varyColors val="0"/>
        <c:ser>
          <c:idx val="1"/>
          <c:order val="1"/>
          <c:tx>
            <c:v>N Conc.</c:v>
          </c:tx>
          <c:spPr>
            <a:ln w="28575">
              <a:noFill/>
            </a:ln>
          </c:spPr>
          <c:marker>
            <c:symbol val="circle"/>
            <c:size val="5"/>
            <c:spPr>
              <a:solidFill>
                <a:srgbClr val="002060"/>
              </a:solidFill>
            </c:spPr>
          </c:marker>
          <c:xVal>
            <c:numRef>
              <c:f>'60AS1-B1&amp;2'!$L$29:$L$46</c:f>
              <c:numCache>
                <c:formatCode>0</c:formatCode>
                <c:ptCount val="18"/>
                <c:pt idx="0">
                  <c:v>0</c:v>
                </c:pt>
                <c:pt idx="1">
                  <c:v>6.09</c:v>
                </c:pt>
                <c:pt idx="2">
                  <c:v>17.59</c:v>
                </c:pt>
                <c:pt idx="3">
                  <c:v>24</c:v>
                </c:pt>
                <c:pt idx="4">
                  <c:v>27.09</c:v>
                </c:pt>
                <c:pt idx="5">
                  <c:v>33.090000000000003</c:v>
                </c:pt>
                <c:pt idx="6">
                  <c:v>39.5</c:v>
                </c:pt>
                <c:pt idx="7">
                  <c:v>43.09</c:v>
                </c:pt>
                <c:pt idx="8">
                  <c:v>45.5</c:v>
                </c:pt>
                <c:pt idx="9">
                  <c:v>51.5</c:v>
                </c:pt>
                <c:pt idx="10">
                  <c:v>56.09</c:v>
                </c:pt>
                <c:pt idx="11">
                  <c:v>62</c:v>
                </c:pt>
                <c:pt idx="12">
                  <c:v>65.09</c:v>
                </c:pt>
                <c:pt idx="13">
                  <c:v>69</c:v>
                </c:pt>
                <c:pt idx="14">
                  <c:v>75.09</c:v>
                </c:pt>
                <c:pt idx="15">
                  <c:v>77</c:v>
                </c:pt>
                <c:pt idx="16">
                  <c:v>88.09</c:v>
                </c:pt>
                <c:pt idx="17">
                  <c:v>109.09</c:v>
                </c:pt>
              </c:numCache>
            </c:numRef>
          </c:xVal>
          <c:yVal>
            <c:numRef>
              <c:f>'60AS1-B1&amp;2'!$P$29:$P$46</c:f>
              <c:numCache>
                <c:formatCode>General</c:formatCode>
                <c:ptCount val="18"/>
                <c:pt idx="0">
                  <c:v>202</c:v>
                </c:pt>
                <c:pt idx="1">
                  <c:v>175.02269461</c:v>
                </c:pt>
                <c:pt idx="2">
                  <c:v>127.74168661</c:v>
                </c:pt>
                <c:pt idx="3">
                  <c:v>103.46559999999999</c:v>
                </c:pt>
                <c:pt idx="4">
                  <c:v>92.294412609999995</c:v>
                </c:pt>
                <c:pt idx="5">
                  <c:v>71.589960609999991</c:v>
                </c:pt>
                <c:pt idx="6">
                  <c:v>50.910524999999978</c:v>
                </c:pt>
                <c:pt idx="7">
                  <c:v>39.97854061000001</c:v>
                </c:pt>
                <c:pt idx="8">
                  <c:v>30.327499999999986</c:v>
                </c:pt>
                <c:pt idx="9">
                  <c:v>17.547499999999957</c:v>
                </c:pt>
                <c:pt idx="10">
                  <c:v>13.117690999999922</c:v>
                </c:pt>
                <c:pt idx="11">
                  <c:v>18.215519999999998</c:v>
                </c:pt>
                <c:pt idx="12">
                  <c:v>18.629262348000001</c:v>
                </c:pt>
                <c:pt idx="13">
                  <c:v>19.072879999999998</c:v>
                </c:pt>
                <c:pt idx="14">
                  <c:v>19.586006347999998</c:v>
                </c:pt>
                <c:pt idx="15">
                  <c:v>19.702319999999997</c:v>
                </c:pt>
                <c:pt idx="16">
                  <c:v>19.956693548000001</c:v>
                </c:pt>
                <c:pt idx="17">
                  <c:v>19.752000000000002</c:v>
                </c:pt>
              </c:numCache>
            </c:numRef>
          </c:yVal>
          <c:smooth val="0"/>
          <c:extLst>
            <c:ext xmlns:c16="http://schemas.microsoft.com/office/drawing/2014/chart" uri="{C3380CC4-5D6E-409C-BE32-E72D297353CC}">
              <c16:uniqueId val="{00000001-2FD5-4B87-BA3B-AC32AF2CA008}"/>
            </c:ext>
          </c:extLst>
        </c:ser>
        <c:dLbls>
          <c:showLegendKey val="0"/>
          <c:showVal val="0"/>
          <c:showCatName val="0"/>
          <c:showSerName val="0"/>
          <c:showPercent val="0"/>
          <c:showBubbleSize val="0"/>
        </c:dLbls>
        <c:axId val="234206336"/>
        <c:axId val="234204160"/>
      </c:scatterChart>
      <c:valAx>
        <c:axId val="234195584"/>
        <c:scaling>
          <c:orientation val="minMax"/>
          <c:max val="100"/>
          <c:min val="0"/>
        </c:scaling>
        <c:delete val="0"/>
        <c:axPos val="b"/>
        <c:title>
          <c:tx>
            <c:rich>
              <a:bodyPr/>
              <a:lstStyle/>
              <a:p>
                <a:pPr>
                  <a:defRPr/>
                </a:pPr>
                <a:r>
                  <a:rPr lang="en-US"/>
                  <a:t>Time (h)</a:t>
                </a:r>
                <a:endParaRPr lang="zh-CN"/>
              </a:p>
            </c:rich>
          </c:tx>
          <c:overlay val="0"/>
        </c:title>
        <c:numFmt formatCode="0" sourceLinked="1"/>
        <c:majorTickMark val="out"/>
        <c:minorTickMark val="none"/>
        <c:tickLblPos val="nextTo"/>
        <c:crossAx val="234202240"/>
        <c:crosses val="autoZero"/>
        <c:crossBetween val="midCat"/>
      </c:valAx>
      <c:valAx>
        <c:axId val="234202240"/>
        <c:scaling>
          <c:orientation val="minMax"/>
          <c:max val="7.5"/>
          <c:min val="4"/>
        </c:scaling>
        <c:delete val="0"/>
        <c:axPos val="l"/>
        <c:title>
          <c:tx>
            <c:rich>
              <a:bodyPr rot="-5400000" vert="horz"/>
              <a:lstStyle/>
              <a:p>
                <a:pPr>
                  <a:defRPr/>
                </a:pPr>
                <a:r>
                  <a:rPr lang="en-US"/>
                  <a:t>pH</a:t>
                </a:r>
                <a:endParaRPr lang="zh-CN"/>
              </a:p>
            </c:rich>
          </c:tx>
          <c:overlay val="0"/>
        </c:title>
        <c:numFmt formatCode="0.0" sourceLinked="0"/>
        <c:majorTickMark val="out"/>
        <c:minorTickMark val="none"/>
        <c:tickLblPos val="nextTo"/>
        <c:crossAx val="234195584"/>
        <c:crosses val="autoZero"/>
        <c:crossBetween val="midCat"/>
      </c:valAx>
      <c:valAx>
        <c:axId val="234204160"/>
        <c:scaling>
          <c:orientation val="minMax"/>
        </c:scaling>
        <c:delete val="0"/>
        <c:axPos val="r"/>
        <c:title>
          <c:tx>
            <c:rich>
              <a:bodyPr rot="-5400000" vert="horz"/>
              <a:lstStyle/>
              <a:p>
                <a:pPr>
                  <a:defRPr/>
                </a:pPr>
                <a:r>
                  <a:rPr lang="en-US"/>
                  <a:t>Nitrogen Conc (mg/l)</a:t>
                </a:r>
                <a:endParaRPr lang="zh-CN"/>
              </a:p>
            </c:rich>
          </c:tx>
          <c:overlay val="0"/>
        </c:title>
        <c:numFmt formatCode="General" sourceLinked="1"/>
        <c:majorTickMark val="out"/>
        <c:minorTickMark val="none"/>
        <c:tickLblPos val="nextTo"/>
        <c:crossAx val="234206336"/>
        <c:crosses val="max"/>
        <c:crossBetween val="midCat"/>
      </c:valAx>
      <c:valAx>
        <c:axId val="234206336"/>
        <c:scaling>
          <c:orientation val="minMax"/>
        </c:scaling>
        <c:delete val="1"/>
        <c:axPos val="b"/>
        <c:numFmt formatCode="0" sourceLinked="1"/>
        <c:majorTickMark val="out"/>
        <c:minorTickMark val="none"/>
        <c:tickLblPos val="nextTo"/>
        <c:crossAx val="234204160"/>
        <c:crosses val="autoZero"/>
        <c:crossBetween val="midCat"/>
      </c:valAx>
    </c:plotArea>
    <c:legend>
      <c:legendPos val="r"/>
      <c:layout>
        <c:manualLayout>
          <c:xMode val="edge"/>
          <c:yMode val="edge"/>
          <c:x val="0.60243493469859244"/>
          <c:y val="5.1783465425162559E-2"/>
          <c:w val="0.20622600918141923"/>
          <c:h val="0.19748462989421617"/>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902194929921996"/>
          <c:y val="5.8233400443254438E-2"/>
          <c:w val="0.78455882797763099"/>
          <c:h val="0.78100594568536075"/>
        </c:manualLayout>
      </c:layout>
      <c:scatterChart>
        <c:scatterStyle val="lineMarker"/>
        <c:varyColors val="0"/>
        <c:ser>
          <c:idx val="0"/>
          <c:order val="0"/>
          <c:tx>
            <c:v>2.1</c:v>
          </c:tx>
          <c:spPr>
            <a:ln w="28575">
              <a:noFill/>
            </a:ln>
          </c:spPr>
          <c:marker>
            <c:spPr>
              <a:solidFill>
                <a:srgbClr val="C00000"/>
              </a:solidFill>
              <a:ln>
                <a:noFill/>
              </a:ln>
            </c:spPr>
          </c:marker>
          <c:xVal>
            <c:numRef>
              <c:f>'Kla2'!$E$43:$E$51</c:f>
              <c:numCache>
                <c:formatCode>General</c:formatCode>
                <c:ptCount val="9"/>
                <c:pt idx="0">
                  <c:v>0</c:v>
                </c:pt>
                <c:pt idx="1">
                  <c:v>0.33333333333333331</c:v>
                </c:pt>
                <c:pt idx="2">
                  <c:v>0.66666666666666663</c:v>
                </c:pt>
                <c:pt idx="3">
                  <c:v>1</c:v>
                </c:pt>
                <c:pt idx="4">
                  <c:v>1.3333333333333333</c:v>
                </c:pt>
                <c:pt idx="5">
                  <c:v>1.6666666666666665</c:v>
                </c:pt>
                <c:pt idx="6">
                  <c:v>1.9999999999999998</c:v>
                </c:pt>
                <c:pt idx="7">
                  <c:v>2.333333333333333</c:v>
                </c:pt>
                <c:pt idx="8">
                  <c:v>2.6666666666666665</c:v>
                </c:pt>
              </c:numCache>
            </c:numRef>
          </c:xVal>
          <c:yVal>
            <c:numRef>
              <c:f>'Kla2'!$F$43:$F$51</c:f>
              <c:numCache>
                <c:formatCode>General</c:formatCode>
                <c:ptCount val="9"/>
                <c:pt idx="0">
                  <c:v>47.7</c:v>
                </c:pt>
                <c:pt idx="1">
                  <c:v>46.4</c:v>
                </c:pt>
                <c:pt idx="2">
                  <c:v>42.2</c:v>
                </c:pt>
                <c:pt idx="3">
                  <c:v>36.299999999999997</c:v>
                </c:pt>
                <c:pt idx="4">
                  <c:v>30.2</c:v>
                </c:pt>
                <c:pt idx="5">
                  <c:v>24.7</c:v>
                </c:pt>
                <c:pt idx="6">
                  <c:v>20</c:v>
                </c:pt>
                <c:pt idx="7">
                  <c:v>18.2</c:v>
                </c:pt>
                <c:pt idx="8">
                  <c:v>17.8</c:v>
                </c:pt>
              </c:numCache>
            </c:numRef>
          </c:yVal>
          <c:smooth val="0"/>
          <c:extLst>
            <c:ext xmlns:c16="http://schemas.microsoft.com/office/drawing/2014/chart" uri="{C3380CC4-5D6E-409C-BE32-E72D297353CC}">
              <c16:uniqueId val="{00000000-EE8A-4692-8683-B1BDF2F35179}"/>
            </c:ext>
          </c:extLst>
        </c:ser>
        <c:ser>
          <c:idx val="1"/>
          <c:order val="1"/>
          <c:tx>
            <c:v>2.2</c:v>
          </c:tx>
          <c:spPr>
            <a:ln w="28575">
              <a:noFill/>
            </a:ln>
          </c:spPr>
          <c:marker>
            <c:symbol val="circle"/>
            <c:size val="6"/>
            <c:spPr>
              <a:solidFill>
                <a:srgbClr val="002060"/>
              </a:solidFill>
            </c:spPr>
          </c:marker>
          <c:xVal>
            <c:numRef>
              <c:f>'Kla2'!$E$52:$E$64</c:f>
              <c:numCache>
                <c:formatCode>General</c:formatCode>
                <c:ptCount val="13"/>
                <c:pt idx="0">
                  <c:v>3</c:v>
                </c:pt>
                <c:pt idx="1">
                  <c:v>3.5</c:v>
                </c:pt>
                <c:pt idx="2">
                  <c:v>4</c:v>
                </c:pt>
                <c:pt idx="3">
                  <c:v>4.5</c:v>
                </c:pt>
                <c:pt idx="4">
                  <c:v>5</c:v>
                </c:pt>
                <c:pt idx="5">
                  <c:v>5.5</c:v>
                </c:pt>
                <c:pt idx="6">
                  <c:v>6</c:v>
                </c:pt>
                <c:pt idx="7">
                  <c:v>6.5</c:v>
                </c:pt>
                <c:pt idx="8">
                  <c:v>7</c:v>
                </c:pt>
                <c:pt idx="9">
                  <c:v>7.5</c:v>
                </c:pt>
                <c:pt idx="10">
                  <c:v>8</c:v>
                </c:pt>
                <c:pt idx="11">
                  <c:v>8.5</c:v>
                </c:pt>
                <c:pt idx="12">
                  <c:v>9</c:v>
                </c:pt>
              </c:numCache>
            </c:numRef>
          </c:xVal>
          <c:yVal>
            <c:numRef>
              <c:f>'Kla2'!$F$52:$F$64</c:f>
              <c:numCache>
                <c:formatCode>General</c:formatCode>
                <c:ptCount val="13"/>
                <c:pt idx="0">
                  <c:v>17.8</c:v>
                </c:pt>
                <c:pt idx="1">
                  <c:v>18.2</c:v>
                </c:pt>
                <c:pt idx="2">
                  <c:v>24</c:v>
                </c:pt>
                <c:pt idx="3">
                  <c:v>31.1</c:v>
                </c:pt>
                <c:pt idx="4">
                  <c:v>36.200000000000003</c:v>
                </c:pt>
                <c:pt idx="5">
                  <c:v>39.9</c:v>
                </c:pt>
                <c:pt idx="6">
                  <c:v>41.9</c:v>
                </c:pt>
                <c:pt idx="7">
                  <c:v>43.9</c:v>
                </c:pt>
                <c:pt idx="8">
                  <c:v>44</c:v>
                </c:pt>
                <c:pt idx="9">
                  <c:v>44.9</c:v>
                </c:pt>
                <c:pt idx="10">
                  <c:v>45.5</c:v>
                </c:pt>
                <c:pt idx="11">
                  <c:v>45.9</c:v>
                </c:pt>
                <c:pt idx="12">
                  <c:v>46</c:v>
                </c:pt>
              </c:numCache>
            </c:numRef>
          </c:yVal>
          <c:smooth val="0"/>
          <c:extLst>
            <c:ext xmlns:c16="http://schemas.microsoft.com/office/drawing/2014/chart" uri="{C3380CC4-5D6E-409C-BE32-E72D297353CC}">
              <c16:uniqueId val="{00000001-EE8A-4692-8683-B1BDF2F35179}"/>
            </c:ext>
          </c:extLst>
        </c:ser>
        <c:dLbls>
          <c:showLegendKey val="0"/>
          <c:showVal val="0"/>
          <c:showCatName val="0"/>
          <c:showSerName val="0"/>
          <c:showPercent val="0"/>
          <c:showBubbleSize val="0"/>
        </c:dLbls>
        <c:axId val="234427520"/>
        <c:axId val="234429824"/>
      </c:scatterChart>
      <c:valAx>
        <c:axId val="234427520"/>
        <c:scaling>
          <c:orientation val="minMax"/>
        </c:scaling>
        <c:delete val="1"/>
        <c:axPos val="b"/>
        <c:title>
          <c:tx>
            <c:rich>
              <a:bodyPr/>
              <a:lstStyle/>
              <a:p>
                <a:pPr>
                  <a:defRPr b="1"/>
                </a:pPr>
                <a:r>
                  <a:rPr lang="en-US" b="1"/>
                  <a:t>Time</a:t>
                </a:r>
                <a:endParaRPr lang="zh-CN" b="1"/>
              </a:p>
            </c:rich>
          </c:tx>
          <c:layout>
            <c:manualLayout>
              <c:xMode val="edge"/>
              <c:yMode val="edge"/>
              <c:x val="0.52955545250721414"/>
              <c:y val="0.92149399692385392"/>
            </c:manualLayout>
          </c:layout>
          <c:overlay val="0"/>
        </c:title>
        <c:numFmt formatCode="General" sourceLinked="1"/>
        <c:majorTickMark val="out"/>
        <c:minorTickMark val="none"/>
        <c:tickLblPos val="nextTo"/>
        <c:crossAx val="234429824"/>
        <c:crosses val="autoZero"/>
        <c:crossBetween val="midCat"/>
      </c:valAx>
      <c:valAx>
        <c:axId val="234429824"/>
        <c:scaling>
          <c:orientation val="minMax"/>
        </c:scaling>
        <c:delete val="1"/>
        <c:axPos val="l"/>
        <c:majorGridlines/>
        <c:title>
          <c:tx>
            <c:rich>
              <a:bodyPr rot="-5400000" vert="horz"/>
              <a:lstStyle/>
              <a:p>
                <a:pPr>
                  <a:defRPr b="1"/>
                </a:pPr>
                <a:r>
                  <a:rPr lang="en-US" b="1"/>
                  <a:t>D.O. Concentration</a:t>
                </a:r>
                <a:endParaRPr lang="zh-CN" b="1"/>
              </a:p>
            </c:rich>
          </c:tx>
          <c:layout>
            <c:manualLayout>
              <c:xMode val="edge"/>
              <c:yMode val="edge"/>
              <c:x val="4.5463396864258432E-3"/>
              <c:y val="0.24005111605947216"/>
            </c:manualLayout>
          </c:layout>
          <c:overlay val="0"/>
        </c:title>
        <c:numFmt formatCode="General" sourceLinked="1"/>
        <c:majorTickMark val="out"/>
        <c:minorTickMark val="none"/>
        <c:tickLblPos val="nextTo"/>
        <c:crossAx val="234427520"/>
        <c:crosses val="autoZero"/>
        <c:crossBetween val="midCat"/>
      </c:valAx>
      <c:spPr>
        <a:ln>
          <a:solidFill>
            <a:schemeClr val="tx1"/>
          </a:solidFill>
        </a:ln>
      </c:spPr>
    </c:plotArea>
    <c:plotVisOnly val="1"/>
    <c:dispBlanksAs val="gap"/>
    <c:showDLblsOverMax val="0"/>
  </c:chart>
  <c:txPr>
    <a:bodyPr/>
    <a:lstStyle/>
    <a:p>
      <a:pPr>
        <a:defRPr b="0">
          <a:latin typeface="Times New Roman" panose="02020603050405020304" pitchFamily="18" charset="0"/>
          <a:cs typeface="Times New Roman" panose="02020603050405020304" pitchFamily="18" charset="0"/>
        </a:defRPr>
      </a:pPr>
      <a:endParaRPr lang="zh-CN"/>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35411198600175"/>
          <c:y val="5.0925925925925923E-2"/>
          <c:w val="0.79203477690288715"/>
          <c:h val="0.74530074365704291"/>
        </c:manualLayout>
      </c:layout>
      <c:scatterChart>
        <c:scatterStyle val="smoothMarker"/>
        <c:varyColors val="0"/>
        <c:ser>
          <c:idx val="0"/>
          <c:order val="0"/>
          <c:tx>
            <c:v>220 rpm</c:v>
          </c:tx>
          <c:spPr>
            <a:ln>
              <a:solidFill>
                <a:srgbClr val="00B050"/>
              </a:solidFill>
            </a:ln>
          </c:spPr>
          <c:marker>
            <c:symbol val="diamond"/>
            <c:size val="7"/>
            <c:spPr>
              <a:solidFill>
                <a:srgbClr val="00B050"/>
              </a:solidFill>
              <a:ln>
                <a:noFill/>
              </a:ln>
            </c:spPr>
          </c:marker>
          <c:xVal>
            <c:numRef>
              <c:f>Cpt7_Oxygen!$N$61:$N$64</c:f>
              <c:numCache>
                <c:formatCode>General</c:formatCode>
                <c:ptCount val="4"/>
                <c:pt idx="0">
                  <c:v>0</c:v>
                </c:pt>
                <c:pt idx="1">
                  <c:v>0.2</c:v>
                </c:pt>
                <c:pt idx="2">
                  <c:v>0.8</c:v>
                </c:pt>
                <c:pt idx="3">
                  <c:v>1</c:v>
                </c:pt>
              </c:numCache>
            </c:numRef>
          </c:xVal>
          <c:yVal>
            <c:numRef>
              <c:f>Cpt7_Oxygen!$O$61:$O$64</c:f>
              <c:numCache>
                <c:formatCode>General</c:formatCode>
                <c:ptCount val="4"/>
                <c:pt idx="0">
                  <c:v>0.01</c:v>
                </c:pt>
                <c:pt idx="1">
                  <c:v>8.1313535805826662E-2</c:v>
                </c:pt>
                <c:pt idx="2">
                  <c:v>0.10425072156400898</c:v>
                </c:pt>
                <c:pt idx="3">
                  <c:v>0.11020000000000001</c:v>
                </c:pt>
              </c:numCache>
            </c:numRef>
          </c:yVal>
          <c:smooth val="1"/>
          <c:extLst>
            <c:ext xmlns:c16="http://schemas.microsoft.com/office/drawing/2014/chart" uri="{C3380CC4-5D6E-409C-BE32-E72D297353CC}">
              <c16:uniqueId val="{00000000-4E4D-4542-9123-8D751460BB2D}"/>
            </c:ext>
          </c:extLst>
        </c:ser>
        <c:ser>
          <c:idx val="1"/>
          <c:order val="1"/>
          <c:tx>
            <c:v>260 rpm</c:v>
          </c:tx>
          <c:spPr>
            <a:ln>
              <a:solidFill>
                <a:srgbClr val="0070C0"/>
              </a:solidFill>
            </a:ln>
          </c:spPr>
          <c:marker>
            <c:spPr>
              <a:solidFill>
                <a:srgbClr val="0070C0"/>
              </a:solidFill>
              <a:ln>
                <a:solidFill>
                  <a:srgbClr val="0070C0"/>
                </a:solidFill>
              </a:ln>
            </c:spPr>
          </c:marker>
          <c:xVal>
            <c:numRef>
              <c:f>Cpt7_Oxygen!$Q$61:$Q$65</c:f>
              <c:numCache>
                <c:formatCode>General</c:formatCode>
                <c:ptCount val="5"/>
                <c:pt idx="0">
                  <c:v>0</c:v>
                </c:pt>
                <c:pt idx="1">
                  <c:v>0.2</c:v>
                </c:pt>
                <c:pt idx="2">
                  <c:v>0.4</c:v>
                </c:pt>
                <c:pt idx="3">
                  <c:v>0.6</c:v>
                </c:pt>
                <c:pt idx="4">
                  <c:v>0.8</c:v>
                </c:pt>
              </c:numCache>
            </c:numRef>
          </c:xVal>
          <c:yVal>
            <c:numRef>
              <c:f>Cpt7_Oxygen!$R$61:$R$65</c:f>
              <c:numCache>
                <c:formatCode>General</c:formatCode>
                <c:ptCount val="5"/>
                <c:pt idx="0">
                  <c:v>0.01</c:v>
                </c:pt>
                <c:pt idx="1">
                  <c:v>0.13300000000000001</c:v>
                </c:pt>
                <c:pt idx="2">
                  <c:v>0.252</c:v>
                </c:pt>
                <c:pt idx="3">
                  <c:v>0.47560000000000002</c:v>
                </c:pt>
                <c:pt idx="4">
                  <c:v>0.90504108740495215</c:v>
                </c:pt>
              </c:numCache>
            </c:numRef>
          </c:yVal>
          <c:smooth val="1"/>
          <c:extLst>
            <c:ext xmlns:c16="http://schemas.microsoft.com/office/drawing/2014/chart" uri="{C3380CC4-5D6E-409C-BE32-E72D297353CC}">
              <c16:uniqueId val="{00000001-4E4D-4542-9123-8D751460BB2D}"/>
            </c:ext>
          </c:extLst>
        </c:ser>
        <c:ser>
          <c:idx val="2"/>
          <c:order val="2"/>
          <c:tx>
            <c:v>300 rpm</c:v>
          </c:tx>
          <c:spPr>
            <a:ln>
              <a:solidFill>
                <a:srgbClr val="FF0000"/>
              </a:solidFill>
            </a:ln>
          </c:spPr>
          <c:marker>
            <c:symbol val="triangle"/>
            <c:size val="7"/>
            <c:spPr>
              <a:solidFill>
                <a:srgbClr val="FF0000"/>
              </a:solidFill>
              <a:ln>
                <a:noFill/>
              </a:ln>
            </c:spPr>
          </c:marker>
          <c:xVal>
            <c:numRef>
              <c:f>Cpt7_Oxygen!$Q$61:$Q$65</c:f>
              <c:numCache>
                <c:formatCode>General</c:formatCode>
                <c:ptCount val="5"/>
                <c:pt idx="0">
                  <c:v>0</c:v>
                </c:pt>
                <c:pt idx="1">
                  <c:v>0.2</c:v>
                </c:pt>
                <c:pt idx="2">
                  <c:v>0.4</c:v>
                </c:pt>
                <c:pt idx="3">
                  <c:v>0.6</c:v>
                </c:pt>
                <c:pt idx="4">
                  <c:v>0.8</c:v>
                </c:pt>
              </c:numCache>
            </c:numRef>
          </c:xVal>
          <c:yVal>
            <c:numRef>
              <c:f>Cpt7_Oxygen!$S$61:$S$65</c:f>
              <c:numCache>
                <c:formatCode>General</c:formatCode>
                <c:ptCount val="5"/>
                <c:pt idx="0">
                  <c:v>0.01</c:v>
                </c:pt>
                <c:pt idx="1">
                  <c:v>0.16400000000000001</c:v>
                </c:pt>
                <c:pt idx="2">
                  <c:v>0.35499999999999998</c:v>
                </c:pt>
                <c:pt idx="3">
                  <c:v>0.82299999999999995</c:v>
                </c:pt>
                <c:pt idx="4">
                  <c:v>1.8424879918674666</c:v>
                </c:pt>
              </c:numCache>
            </c:numRef>
          </c:yVal>
          <c:smooth val="1"/>
          <c:extLst>
            <c:ext xmlns:c16="http://schemas.microsoft.com/office/drawing/2014/chart" uri="{C3380CC4-5D6E-409C-BE32-E72D297353CC}">
              <c16:uniqueId val="{00000002-4E4D-4542-9123-8D751460BB2D}"/>
            </c:ext>
          </c:extLst>
        </c:ser>
        <c:dLbls>
          <c:showLegendKey val="0"/>
          <c:showVal val="0"/>
          <c:showCatName val="0"/>
          <c:showSerName val="0"/>
          <c:showPercent val="0"/>
          <c:showBubbleSize val="0"/>
        </c:dLbls>
        <c:axId val="234455424"/>
        <c:axId val="234457728"/>
      </c:scatterChart>
      <c:valAx>
        <c:axId val="234455424"/>
        <c:scaling>
          <c:orientation val="minMax"/>
          <c:max val="1.1000000000000001"/>
          <c:min val="0"/>
        </c:scaling>
        <c:delete val="0"/>
        <c:axPos val="b"/>
        <c:title>
          <c:tx>
            <c:rich>
              <a:bodyPr/>
              <a:lstStyle/>
              <a:p>
                <a:pPr>
                  <a:defRPr/>
                </a:pPr>
                <a:r>
                  <a:rPr lang="en-US"/>
                  <a:t>Air flow rate (v.v.m.)</a:t>
                </a:r>
                <a:endParaRPr lang="zh-CN"/>
              </a:p>
            </c:rich>
          </c:tx>
          <c:overlay val="0"/>
        </c:title>
        <c:numFmt formatCode="General" sourceLinked="1"/>
        <c:majorTickMark val="out"/>
        <c:minorTickMark val="none"/>
        <c:tickLblPos val="nextTo"/>
        <c:crossAx val="234457728"/>
        <c:crosses val="autoZero"/>
        <c:crossBetween val="midCat"/>
      </c:valAx>
      <c:valAx>
        <c:axId val="234457728"/>
        <c:scaling>
          <c:orientation val="minMax"/>
        </c:scaling>
        <c:delete val="0"/>
        <c:axPos val="l"/>
        <c:majorGridlines/>
        <c:title>
          <c:tx>
            <c:rich>
              <a:bodyPr rot="-5400000" vert="horz"/>
              <a:lstStyle/>
              <a:p>
                <a:pPr>
                  <a:defRPr/>
                </a:pPr>
                <a:r>
                  <a:rPr lang="en-US"/>
                  <a:t>kLa (min-1)</a:t>
                </a:r>
                <a:endParaRPr lang="zh-CN"/>
              </a:p>
            </c:rich>
          </c:tx>
          <c:overlay val="0"/>
        </c:title>
        <c:numFmt formatCode="General" sourceLinked="1"/>
        <c:majorTickMark val="out"/>
        <c:minorTickMark val="none"/>
        <c:tickLblPos val="nextTo"/>
        <c:crossAx val="234455424"/>
        <c:crosses val="autoZero"/>
        <c:crossBetween val="midCat"/>
      </c:valAx>
    </c:plotArea>
    <c:legend>
      <c:legendPos val="r"/>
      <c:layout>
        <c:manualLayout>
          <c:xMode val="edge"/>
          <c:yMode val="edge"/>
          <c:x val="0.80663888888888891"/>
          <c:y val="0.40534120734908136"/>
          <c:w val="0.17669444444444443"/>
          <c:h val="0.23561351706036746"/>
        </c:manualLayout>
      </c:layout>
      <c:overlay val="0"/>
    </c:legend>
    <c:plotVisOnly val="1"/>
    <c:dispBlanksAs val="gap"/>
    <c:showDLblsOverMax val="0"/>
  </c:chart>
  <c:txPr>
    <a:bodyPr/>
    <a:lstStyle/>
    <a:p>
      <a:pPr>
        <a:defRPr b="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730821744718991"/>
          <c:y val="7.1563212767102091E-2"/>
          <c:w val="0.77033828210353339"/>
          <c:h val="0.73251547387207538"/>
        </c:manualLayout>
      </c:layout>
      <c:scatterChart>
        <c:scatterStyle val="smoothMarker"/>
        <c:varyColors val="0"/>
        <c:ser>
          <c:idx val="0"/>
          <c:order val="0"/>
          <c:tx>
            <c:v>Smoothed</c:v>
          </c:tx>
          <c:spPr>
            <a:ln w="28575">
              <a:solidFill>
                <a:srgbClr val="C00000"/>
              </a:solidFill>
            </a:ln>
          </c:spPr>
          <c:marker>
            <c:symbol val="none"/>
          </c:marker>
          <c:xVal>
            <c:numRef>
              <c:f>'60AS1B'!$AM$21:$AM$37</c:f>
              <c:numCache>
                <c:formatCode>General</c:formatCode>
                <c:ptCount val="17"/>
                <c:pt idx="0">
                  <c:v>0</c:v>
                </c:pt>
                <c:pt idx="1">
                  <c:v>6</c:v>
                </c:pt>
                <c:pt idx="2">
                  <c:v>17.600000000000001</c:v>
                </c:pt>
                <c:pt idx="3">
                  <c:v>24</c:v>
                </c:pt>
                <c:pt idx="4">
                  <c:v>27</c:v>
                </c:pt>
                <c:pt idx="5">
                  <c:v>33</c:v>
                </c:pt>
                <c:pt idx="6">
                  <c:v>39.5</c:v>
                </c:pt>
                <c:pt idx="7">
                  <c:v>43</c:v>
                </c:pt>
                <c:pt idx="8">
                  <c:v>45.5</c:v>
                </c:pt>
                <c:pt idx="9">
                  <c:v>51.5</c:v>
                </c:pt>
                <c:pt idx="10">
                  <c:v>56</c:v>
                </c:pt>
                <c:pt idx="11">
                  <c:v>62</c:v>
                </c:pt>
                <c:pt idx="12">
                  <c:v>65</c:v>
                </c:pt>
                <c:pt idx="13">
                  <c:v>69</c:v>
                </c:pt>
                <c:pt idx="14">
                  <c:v>75</c:v>
                </c:pt>
                <c:pt idx="15">
                  <c:v>88</c:v>
                </c:pt>
                <c:pt idx="16">
                  <c:v>109</c:v>
                </c:pt>
              </c:numCache>
            </c:numRef>
          </c:xVal>
          <c:yVal>
            <c:numRef>
              <c:f>'60AS1B'!$AO$21:$AO$37</c:f>
              <c:numCache>
                <c:formatCode>General</c:formatCode>
                <c:ptCount val="17"/>
                <c:pt idx="0">
                  <c:v>1.37E-2</c:v>
                </c:pt>
                <c:pt idx="1">
                  <c:v>2.7676836414501076E-2</c:v>
                </c:pt>
                <c:pt idx="2">
                  <c:v>0.10778255660735205</c:v>
                </c:pt>
                <c:pt idx="3">
                  <c:v>0.22819392891243276</c:v>
                </c:pt>
                <c:pt idx="4">
                  <c:v>0.28197503532000212</c:v>
                </c:pt>
                <c:pt idx="5">
                  <c:v>0.68973138492000174</c:v>
                </c:pt>
                <c:pt idx="6">
                  <c:v>1.4029074636324985</c:v>
                </c:pt>
                <c:pt idx="7">
                  <c:v>1.8505492625200013</c:v>
                </c:pt>
                <c:pt idx="8">
                  <c:v>2.1821988672325006</c:v>
                </c:pt>
                <c:pt idx="9">
                  <c:v>2.9766075996325014</c:v>
                </c:pt>
                <c:pt idx="10">
                  <c:v>3.5360564339200025</c:v>
                </c:pt>
                <c:pt idx="11">
                  <c:v>4.1885651507200024</c:v>
                </c:pt>
                <c:pt idx="12">
                  <c:v>4.4979859999999974</c:v>
                </c:pt>
                <c:pt idx="13">
                  <c:v>4.7455430559999989</c:v>
                </c:pt>
                <c:pt idx="14">
                  <c:v>5.032749999999993</c:v>
                </c:pt>
                <c:pt idx="15">
                  <c:v>5.4199588479999896</c:v>
                </c:pt>
                <c:pt idx="16">
                  <c:v>5.9252467359999947</c:v>
                </c:pt>
              </c:numCache>
            </c:numRef>
          </c:yVal>
          <c:smooth val="1"/>
          <c:extLst>
            <c:ext xmlns:c16="http://schemas.microsoft.com/office/drawing/2014/chart" uri="{C3380CC4-5D6E-409C-BE32-E72D297353CC}">
              <c16:uniqueId val="{00000000-0D86-46B5-8EE4-3265F77BFAB9}"/>
            </c:ext>
          </c:extLst>
        </c:ser>
        <c:dLbls>
          <c:showLegendKey val="0"/>
          <c:showVal val="0"/>
          <c:showCatName val="0"/>
          <c:showSerName val="0"/>
          <c:showPercent val="0"/>
          <c:showBubbleSize val="0"/>
        </c:dLbls>
        <c:axId val="234487168"/>
        <c:axId val="234502016"/>
      </c:scatterChart>
      <c:scatterChart>
        <c:scatterStyle val="lineMarker"/>
        <c:varyColors val="0"/>
        <c:ser>
          <c:idx val="2"/>
          <c:order val="1"/>
          <c:tx>
            <c:v>Raw</c:v>
          </c:tx>
          <c:spPr>
            <a:ln w="28575">
              <a:noFill/>
            </a:ln>
          </c:spPr>
          <c:marker>
            <c:symbol val="triangle"/>
            <c:size val="5"/>
            <c:spPr>
              <a:solidFill>
                <a:srgbClr val="0070C0"/>
              </a:solidFill>
              <a:ln>
                <a:solidFill>
                  <a:srgbClr val="0070C0"/>
                </a:solidFill>
              </a:ln>
            </c:spPr>
          </c:marker>
          <c:xVal>
            <c:numRef>
              <c:f>'60AS1B'!$AA$4:$AA$20</c:f>
              <c:numCache>
                <c:formatCode>General</c:formatCode>
                <c:ptCount val="17"/>
                <c:pt idx="0">
                  <c:v>0</c:v>
                </c:pt>
                <c:pt idx="1">
                  <c:v>6</c:v>
                </c:pt>
                <c:pt idx="2">
                  <c:v>17.600000000000001</c:v>
                </c:pt>
                <c:pt idx="3">
                  <c:v>24</c:v>
                </c:pt>
                <c:pt idx="4">
                  <c:v>27</c:v>
                </c:pt>
                <c:pt idx="5">
                  <c:v>33</c:v>
                </c:pt>
                <c:pt idx="6">
                  <c:v>39.5</c:v>
                </c:pt>
                <c:pt idx="7">
                  <c:v>43</c:v>
                </c:pt>
                <c:pt idx="8">
                  <c:v>45.5</c:v>
                </c:pt>
                <c:pt idx="9">
                  <c:v>51.5</c:v>
                </c:pt>
                <c:pt idx="10">
                  <c:v>56</c:v>
                </c:pt>
                <c:pt idx="11">
                  <c:v>62</c:v>
                </c:pt>
                <c:pt idx="12">
                  <c:v>65</c:v>
                </c:pt>
                <c:pt idx="13">
                  <c:v>69</c:v>
                </c:pt>
                <c:pt idx="14">
                  <c:v>75</c:v>
                </c:pt>
                <c:pt idx="15">
                  <c:v>88</c:v>
                </c:pt>
                <c:pt idx="16">
                  <c:v>109</c:v>
                </c:pt>
              </c:numCache>
            </c:numRef>
          </c:xVal>
          <c:yVal>
            <c:numRef>
              <c:f>'60AS1B'!$AD$4:$AD$20</c:f>
              <c:numCache>
                <c:formatCode>General</c:formatCode>
                <c:ptCount val="17"/>
                <c:pt idx="0">
                  <c:v>0</c:v>
                </c:pt>
                <c:pt idx="1">
                  <c:v>4.3565083695005599E-2</c:v>
                </c:pt>
                <c:pt idx="2">
                  <c:v>0.11892277022975392</c:v>
                </c:pt>
                <c:pt idx="3">
                  <c:v>0.199217792339311</c:v>
                </c:pt>
                <c:pt idx="4">
                  <c:v>0.23614307051623851</c:v>
                </c:pt>
                <c:pt idx="5">
                  <c:v>0.79669737875538249</c:v>
                </c:pt>
                <c:pt idx="6">
                  <c:v>1.4441353331689104</c:v>
                </c:pt>
                <c:pt idx="7">
                  <c:v>1.9228615467346191</c:v>
                </c:pt>
                <c:pt idx="8">
                  <c:v>2.0606810673673879</c:v>
                </c:pt>
                <c:pt idx="9">
                  <c:v>2.6974998225994544</c:v>
                </c:pt>
                <c:pt idx="10">
                  <c:v>3.8319437346164844</c:v>
                </c:pt>
                <c:pt idx="11">
                  <c:v>4.0339431446620386</c:v>
                </c:pt>
                <c:pt idx="12">
                  <c:v>4.6691662722181295</c:v>
                </c:pt>
                <c:pt idx="13">
                  <c:v>4.51601554306799</c:v>
                </c:pt>
                <c:pt idx="14">
                  <c:v>5.32943226601446</c:v>
                </c:pt>
                <c:pt idx="15">
                  <c:v>5.313509971344696</c:v>
                </c:pt>
                <c:pt idx="16">
                  <c:v>5.938034823432595</c:v>
                </c:pt>
              </c:numCache>
            </c:numRef>
          </c:yVal>
          <c:smooth val="0"/>
          <c:extLst>
            <c:ext xmlns:c16="http://schemas.microsoft.com/office/drawing/2014/chart" uri="{C3380CC4-5D6E-409C-BE32-E72D297353CC}">
              <c16:uniqueId val="{00000001-0D86-46B5-8EE4-3265F77BFAB9}"/>
            </c:ext>
          </c:extLst>
        </c:ser>
        <c:dLbls>
          <c:showLegendKey val="0"/>
          <c:showVal val="0"/>
          <c:showCatName val="0"/>
          <c:showSerName val="0"/>
          <c:showPercent val="0"/>
          <c:showBubbleSize val="0"/>
        </c:dLbls>
        <c:axId val="234487168"/>
        <c:axId val="234502016"/>
      </c:scatterChart>
      <c:valAx>
        <c:axId val="234487168"/>
        <c:scaling>
          <c:orientation val="minMax"/>
          <c:max val="90"/>
          <c:min val="0"/>
        </c:scaling>
        <c:delete val="0"/>
        <c:axPos val="b"/>
        <c:title>
          <c:tx>
            <c:rich>
              <a:bodyPr/>
              <a:lstStyle/>
              <a:p>
                <a:pPr>
                  <a:defRPr/>
                </a:pPr>
                <a:r>
                  <a:rPr lang="en-US"/>
                  <a:t>Time (h)</a:t>
                </a:r>
                <a:endParaRPr lang="zh-CN"/>
              </a:p>
            </c:rich>
          </c:tx>
          <c:layout>
            <c:manualLayout>
              <c:xMode val="edge"/>
              <c:yMode val="edge"/>
              <c:x val="0.45721001339749101"/>
              <c:y val="0.90010334137099557"/>
            </c:manualLayout>
          </c:layout>
          <c:overlay val="0"/>
        </c:title>
        <c:numFmt formatCode="General" sourceLinked="1"/>
        <c:majorTickMark val="out"/>
        <c:minorTickMark val="none"/>
        <c:tickLblPos val="nextTo"/>
        <c:crossAx val="234502016"/>
        <c:crosses val="autoZero"/>
        <c:crossBetween val="midCat"/>
        <c:majorUnit val="20"/>
      </c:valAx>
      <c:valAx>
        <c:axId val="234502016"/>
        <c:scaling>
          <c:orientation val="minMax"/>
        </c:scaling>
        <c:delete val="0"/>
        <c:axPos val="l"/>
        <c:title>
          <c:tx>
            <c:rich>
              <a:bodyPr rot="-5400000" vert="horz"/>
              <a:lstStyle/>
              <a:p>
                <a:pPr>
                  <a:defRPr/>
                </a:pPr>
                <a:r>
                  <a:rPr lang="en-US"/>
                  <a:t>PHB (g/l)</a:t>
                </a:r>
                <a:endParaRPr lang="zh-CN"/>
              </a:p>
            </c:rich>
          </c:tx>
          <c:overlay val="0"/>
        </c:title>
        <c:numFmt formatCode="General" sourceLinked="1"/>
        <c:majorTickMark val="out"/>
        <c:minorTickMark val="none"/>
        <c:tickLblPos val="nextTo"/>
        <c:crossAx val="234487168"/>
        <c:crosses val="autoZero"/>
        <c:crossBetween val="midCat"/>
      </c:valAx>
    </c:plotArea>
    <c:plotVisOnly val="1"/>
    <c:dispBlanksAs val="gap"/>
    <c:showDLblsOverMax val="0"/>
  </c:chart>
  <c:txPr>
    <a:bodyPr/>
    <a:lstStyle/>
    <a:p>
      <a:pPr>
        <a:defRPr b="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0.16991</cdr:x>
      <cdr:y>0.62474</cdr:y>
    </cdr:from>
    <cdr:to>
      <cdr:x>0.39515</cdr:x>
      <cdr:y>0.62474</cdr:y>
    </cdr:to>
    <cdr:cxnSp macro="">
      <cdr:nvCxnSpPr>
        <cdr:cNvPr id="3" name="直接连接符 2"/>
        <cdr:cNvCxnSpPr/>
      </cdr:nvCxnSpPr>
      <cdr:spPr>
        <a:xfrm xmlns:a="http://schemas.openxmlformats.org/drawingml/2006/main">
          <a:off x="1039091" y="1632857"/>
          <a:ext cx="1377538" cy="0"/>
        </a:xfrm>
        <a:prstGeom xmlns:a="http://schemas.openxmlformats.org/drawingml/2006/main" prst="line">
          <a:avLst/>
        </a:prstGeom>
        <a:ln xmlns:a="http://schemas.openxmlformats.org/drawingml/2006/main" w="12700">
          <a:solidFill>
            <a:schemeClr val="tx1">
              <a:lumMod val="95000"/>
              <a:lumOff val="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0.16947</cdr:x>
      <cdr:y>0.20673</cdr:y>
    </cdr:from>
    <cdr:to>
      <cdr:x>0.87866</cdr:x>
      <cdr:y>0.20799</cdr:y>
    </cdr:to>
    <cdr:cxnSp macro="">
      <cdr:nvCxnSpPr>
        <cdr:cNvPr id="7" name="直接连接符 6"/>
        <cdr:cNvCxnSpPr/>
      </cdr:nvCxnSpPr>
      <cdr:spPr>
        <a:xfrm xmlns:a="http://schemas.openxmlformats.org/drawingml/2006/main" flipV="1">
          <a:off x="1036425" y="540322"/>
          <a:ext cx="4337183" cy="3293"/>
        </a:xfrm>
        <a:prstGeom xmlns:a="http://schemas.openxmlformats.org/drawingml/2006/main" prst="line">
          <a:avLst/>
        </a:prstGeom>
        <a:ln xmlns:a="http://schemas.openxmlformats.org/drawingml/2006/main" w="1905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0.21845</cdr:x>
      <cdr:y>0.2817</cdr:y>
    </cdr:from>
    <cdr:to>
      <cdr:x>0.30874</cdr:x>
      <cdr:y>0.53841</cdr:y>
    </cdr:to>
    <cdr:cxnSp macro="">
      <cdr:nvCxnSpPr>
        <cdr:cNvPr id="9" name="直接连接符 8"/>
        <cdr:cNvCxnSpPr/>
      </cdr:nvCxnSpPr>
      <cdr:spPr>
        <a:xfrm xmlns:a="http://schemas.openxmlformats.org/drawingml/2006/main">
          <a:off x="1335974" y="736270"/>
          <a:ext cx="552202" cy="670956"/>
        </a:xfrm>
        <a:prstGeom xmlns:a="http://schemas.openxmlformats.org/drawingml/2006/main" prst="line">
          <a:avLst/>
        </a:prstGeom>
        <a:ln xmlns:a="http://schemas.openxmlformats.org/drawingml/2006/main" w="19050">
          <a:solidFill>
            <a:schemeClr val="tx1"/>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0.0466</cdr:x>
      <cdr:y>0.12722</cdr:y>
    </cdr:from>
    <cdr:to>
      <cdr:x>0.16117</cdr:x>
      <cdr:y>0.2817</cdr:y>
    </cdr:to>
    <cdr:sp macro="" textlink="">
      <cdr:nvSpPr>
        <cdr:cNvPr id="12" name="文本框 11"/>
        <cdr:cNvSpPr txBox="1"/>
      </cdr:nvSpPr>
      <cdr:spPr>
        <a:xfrm xmlns:a="http://schemas.openxmlformats.org/drawingml/2006/main">
          <a:off x="285009" y="332508"/>
          <a:ext cx="700644" cy="40376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GB" sz="1000"/>
            <a:t>Steady</a:t>
          </a:r>
          <a:r>
            <a:rPr lang="en-GB" sz="1000" baseline="0"/>
            <a:t> State</a:t>
          </a:r>
        </a:p>
        <a:p xmlns:a="http://schemas.openxmlformats.org/drawingml/2006/main">
          <a:r>
            <a:rPr lang="en-GB" sz="1000" baseline="0"/>
            <a:t>D.O. Conc.</a:t>
          </a:r>
        </a:p>
      </cdr:txBody>
    </cdr:sp>
  </cdr:relSizeAnchor>
  <cdr:relSizeAnchor xmlns:cdr="http://schemas.openxmlformats.org/drawingml/2006/chartDrawing">
    <cdr:from>
      <cdr:x>0.04714</cdr:x>
      <cdr:y>0.54649</cdr:y>
    </cdr:from>
    <cdr:to>
      <cdr:x>0.16171</cdr:x>
      <cdr:y>0.70097</cdr:y>
    </cdr:to>
    <cdr:sp macro="" textlink="">
      <cdr:nvSpPr>
        <cdr:cNvPr id="13" name="文本框 1"/>
        <cdr:cNvSpPr txBox="1"/>
      </cdr:nvSpPr>
      <cdr:spPr>
        <a:xfrm xmlns:a="http://schemas.openxmlformats.org/drawingml/2006/main">
          <a:off x="288308" y="1428337"/>
          <a:ext cx="700644" cy="40376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GB" sz="1000"/>
            <a:t>Minimal </a:t>
          </a:r>
        </a:p>
        <a:p xmlns:a="http://schemas.openxmlformats.org/drawingml/2006/main">
          <a:r>
            <a:rPr lang="en-GB" sz="1000"/>
            <a:t>D.O.</a:t>
          </a:r>
          <a:r>
            <a:rPr lang="en-GB" sz="1000" baseline="0"/>
            <a:t> Conc.</a:t>
          </a:r>
          <a:endParaRPr lang="en-GB" sz="1000"/>
        </a:p>
      </cdr:txBody>
    </cdr:sp>
  </cdr:relSizeAnchor>
  <cdr:relSizeAnchor xmlns:cdr="http://schemas.openxmlformats.org/drawingml/2006/chartDrawing">
    <cdr:from>
      <cdr:x>0.13992</cdr:x>
      <cdr:y>0.8451</cdr:y>
    </cdr:from>
    <cdr:to>
      <cdr:x>0.19515</cdr:x>
      <cdr:y>0.99958</cdr:y>
    </cdr:to>
    <cdr:sp macro="" textlink="">
      <cdr:nvSpPr>
        <cdr:cNvPr id="15" name="文本框 1"/>
        <cdr:cNvSpPr txBox="1"/>
      </cdr:nvSpPr>
      <cdr:spPr>
        <a:xfrm xmlns:a="http://schemas.openxmlformats.org/drawingml/2006/main">
          <a:off x="855684" y="2208810"/>
          <a:ext cx="337786" cy="40376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GB"/>
            <a:t>T0</a:t>
          </a:r>
        </a:p>
      </cdr:txBody>
    </cdr:sp>
  </cdr:relSizeAnchor>
  <cdr:relSizeAnchor xmlns:cdr="http://schemas.openxmlformats.org/drawingml/2006/chartDrawing">
    <cdr:from>
      <cdr:x>0.36894</cdr:x>
      <cdr:y>0.8451</cdr:y>
    </cdr:from>
    <cdr:to>
      <cdr:x>0.42396</cdr:x>
      <cdr:y>0.99958</cdr:y>
    </cdr:to>
    <cdr:sp macro="" textlink="">
      <cdr:nvSpPr>
        <cdr:cNvPr id="16" name="文本框 1"/>
        <cdr:cNvSpPr txBox="1"/>
      </cdr:nvSpPr>
      <cdr:spPr>
        <a:xfrm xmlns:a="http://schemas.openxmlformats.org/drawingml/2006/main">
          <a:off x="2256310" y="2208810"/>
          <a:ext cx="336469" cy="40376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GB"/>
            <a:t>T1</a:t>
          </a:r>
        </a:p>
      </cdr:txBody>
    </cdr:sp>
  </cdr:relSizeAnchor>
  <cdr:relSizeAnchor xmlns:cdr="http://schemas.openxmlformats.org/drawingml/2006/chartDrawing">
    <cdr:from>
      <cdr:x>0.84101</cdr:x>
      <cdr:y>0.8451</cdr:y>
    </cdr:from>
    <cdr:to>
      <cdr:x>0.89225</cdr:x>
      <cdr:y>0.99958</cdr:y>
    </cdr:to>
    <cdr:sp macro="" textlink="">
      <cdr:nvSpPr>
        <cdr:cNvPr id="19" name="文本框 1"/>
        <cdr:cNvSpPr txBox="1"/>
      </cdr:nvSpPr>
      <cdr:spPr>
        <a:xfrm xmlns:a="http://schemas.openxmlformats.org/drawingml/2006/main">
          <a:off x="5143336" y="2208810"/>
          <a:ext cx="313375" cy="40376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GB"/>
            <a:t>T2</a:t>
          </a:r>
        </a:p>
      </cdr:txBody>
    </cdr:sp>
  </cdr:relSizeAnchor>
  <cdr:relSizeAnchor xmlns:cdr="http://schemas.openxmlformats.org/drawingml/2006/chartDrawing">
    <cdr:from>
      <cdr:x>0.39321</cdr:x>
      <cdr:y>0.62474</cdr:y>
    </cdr:from>
    <cdr:to>
      <cdr:x>0.39418</cdr:x>
      <cdr:y>0.83829</cdr:y>
    </cdr:to>
    <cdr:cxnSp macro="">
      <cdr:nvCxnSpPr>
        <cdr:cNvPr id="20" name="直接连接符 19"/>
        <cdr:cNvCxnSpPr/>
      </cdr:nvCxnSpPr>
      <cdr:spPr>
        <a:xfrm xmlns:a="http://schemas.openxmlformats.org/drawingml/2006/main" flipH="1">
          <a:off x="2404753" y="1632857"/>
          <a:ext cx="5938" cy="558140"/>
        </a:xfrm>
        <a:prstGeom xmlns:a="http://schemas.openxmlformats.org/drawingml/2006/main" prst="line">
          <a:avLst/>
        </a:prstGeom>
        <a:ln xmlns:a="http://schemas.openxmlformats.org/drawingml/2006/main" w="12700">
          <a:solidFill>
            <a:schemeClr val="tx1">
              <a:lumMod val="95000"/>
              <a:lumOff val="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68B0D-D5E9-4C74-B8D1-6919AFFAC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22</Pages>
  <Words>10058</Words>
  <Characters>57337</Characters>
  <Application>Microsoft Office Word</Application>
  <DocSecurity>0</DocSecurity>
  <Lines>477</Lines>
  <Paragraphs>134</Paragraphs>
  <ScaleCrop>false</ScaleCrop>
  <Company>Hewlett-Packard</Company>
  <LinksUpToDate>false</LinksUpToDate>
  <CharactersWithSpaces>67261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Sun Lingyue</cp:lastModifiedBy>
  <cp:revision>23</cp:revision>
  <dcterms:created xsi:type="dcterms:W3CDTF">2019-01-28T16:37:00Z</dcterms:created>
  <dcterms:modified xsi:type="dcterms:W3CDTF">2020-04-28T13:39:00Z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http://www.zotero.org/styles/biochemical-engineering-journal</vt:lpwstr>
  </property>
  <property fmtid="{D5CDD505-2E9C-101B-9397-08002B2CF9AE}" pid="7" name="Mendeley Recent Style Name 2_1">
    <vt:lpwstr>Biochemical Engineering Journal</vt:lpwstr>
  </property>
  <property fmtid="{D5CDD505-2E9C-101B-9397-08002B2CF9AE}" pid="8" name="Mendeley Recent Style Id 3_1">
    <vt:lpwstr>http://www.zotero.org/styles/bioresource-technology</vt:lpwstr>
  </property>
  <property fmtid="{D5CDD505-2E9C-101B-9397-08002B2CF9AE}" pid="9" name="Mendeley Recent Style Name 3_1">
    <vt:lpwstr>Bioresource Technology</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http://csl.mendeley.com/styles/26104491/elsevier-with-titles-Comp-Biotechol</vt:lpwstr>
  </property>
  <property fmtid="{D5CDD505-2E9C-101B-9397-08002B2CF9AE}" pid="13" name="Mendeley Recent Style Name 5_1">
    <vt:lpwstr>Elsevier (numeric, with titles) - Comprehensive Biotechnology</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http://www.zotero.org/styles/processes</vt:lpwstr>
  </property>
  <property fmtid="{D5CDD505-2E9C-101B-9397-08002B2CF9AE}" pid="21" name="Mendeley Recent Style Name 9_1">
    <vt:lpwstr>Processes</vt:lpwstr>
  </property>
  <property fmtid="{D5CDD505-2E9C-101B-9397-08002B2CF9AE}" pid="22" name="Mendeley Document_1">
    <vt:lpwstr>True</vt:lpwstr>
  </property>
  <property fmtid="{D5CDD505-2E9C-101B-9397-08002B2CF9AE}" pid="23" name="Mendeley Unique User Id_1">
    <vt:lpwstr>687c165d-4597-3b40-b64b-1a4ff7cdb65c</vt:lpwstr>
  </property>
  <property fmtid="{D5CDD505-2E9C-101B-9397-08002B2CF9AE}" pid="24" name="Mendeley Citation Style_1">
    <vt:lpwstr>http://www.zotero.org/styles/biochemical-engineering-journal</vt:lpwstr>
  </property>
</Properties>
</file>